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E4FD" w14:textId="77777777" w:rsidR="00FE067E" w:rsidRPr="005065A4" w:rsidRDefault="00CD36CF" w:rsidP="002010BF">
      <w:pPr>
        <w:pStyle w:val="TitlePageOrigin"/>
      </w:pPr>
      <w:r w:rsidRPr="005065A4">
        <w:t>WEST virginia legislature</w:t>
      </w:r>
    </w:p>
    <w:p w14:paraId="68CCA41C" w14:textId="20BEF5A9" w:rsidR="00CD36CF" w:rsidRPr="005065A4" w:rsidRDefault="00CD36CF" w:rsidP="002010BF">
      <w:pPr>
        <w:pStyle w:val="TitlePageSession"/>
      </w:pPr>
      <w:r w:rsidRPr="005065A4">
        <w:t>20</w:t>
      </w:r>
      <w:r w:rsidR="00081D6D" w:rsidRPr="005065A4">
        <w:t>2</w:t>
      </w:r>
      <w:r w:rsidR="009C1EA5" w:rsidRPr="005065A4">
        <w:t>1</w:t>
      </w:r>
      <w:r w:rsidRPr="005065A4">
        <w:t xml:space="preserve"> regular session</w:t>
      </w:r>
    </w:p>
    <w:p w14:paraId="58E32970" w14:textId="201CD908" w:rsidR="005065A4" w:rsidRPr="005065A4" w:rsidRDefault="005065A4" w:rsidP="002010BF">
      <w:pPr>
        <w:pStyle w:val="TitlePageSession"/>
      </w:pPr>
      <w:r w:rsidRPr="005065A4">
        <w:t>ENROLLED</w:t>
      </w:r>
    </w:p>
    <w:p w14:paraId="0DC0BD16" w14:textId="77777777" w:rsidR="00CD36CF" w:rsidRPr="005065A4" w:rsidRDefault="002A7F85" w:rsidP="002010BF">
      <w:pPr>
        <w:pStyle w:val="TitlePageBillPrefix"/>
      </w:pPr>
      <w:sdt>
        <w:sdtPr>
          <w:tag w:val="IntroDate"/>
          <w:id w:val="-1236936958"/>
          <w:placeholder>
            <w:docPart w:val="38E55B98C6584CCF9C85CBA53F68462E"/>
          </w:placeholder>
          <w:text/>
        </w:sdtPr>
        <w:sdtEndPr/>
        <w:sdtContent>
          <w:r w:rsidR="00AC3B58" w:rsidRPr="005065A4">
            <w:t>Committee Substitute</w:t>
          </w:r>
        </w:sdtContent>
      </w:sdt>
    </w:p>
    <w:p w14:paraId="3622B296" w14:textId="77777777" w:rsidR="00AC3B58" w:rsidRPr="005065A4" w:rsidRDefault="00AC3B58" w:rsidP="002010BF">
      <w:pPr>
        <w:pStyle w:val="TitlePageBillPrefix"/>
      </w:pPr>
      <w:r w:rsidRPr="005065A4">
        <w:t>for</w:t>
      </w:r>
    </w:p>
    <w:p w14:paraId="6C29E3CE" w14:textId="1B1D1EB0" w:rsidR="00CD36CF" w:rsidRPr="005065A4" w:rsidRDefault="002A7F85"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C905A2" w:rsidRPr="005065A4">
            <w:t>House</w:t>
          </w:r>
        </w:sdtContent>
      </w:sdt>
      <w:r w:rsidR="00303684" w:rsidRPr="005065A4">
        <w:t xml:space="preserve"> </w:t>
      </w:r>
      <w:r w:rsidR="00CD36CF" w:rsidRPr="005065A4">
        <w:t xml:space="preserve">Bill </w:t>
      </w:r>
      <w:sdt>
        <w:sdtPr>
          <w:tag w:val="BNum"/>
          <w:id w:val="1645317809"/>
          <w:lock w:val="sdtLocked"/>
          <w:placeholder>
            <w:docPart w:val="2F6EC695F8BA4A069FC220B727B83F05"/>
          </w:placeholder>
          <w:text/>
        </w:sdtPr>
        <w:sdtEndPr/>
        <w:sdtContent>
          <w:r w:rsidR="00C905A2" w:rsidRPr="005065A4">
            <w:t>3293</w:t>
          </w:r>
        </w:sdtContent>
      </w:sdt>
    </w:p>
    <w:p w14:paraId="7D14695C" w14:textId="0747A3E9" w:rsidR="00C905A2" w:rsidRPr="005065A4" w:rsidRDefault="00C905A2" w:rsidP="002010BF">
      <w:pPr>
        <w:pStyle w:val="References"/>
        <w:rPr>
          <w:rFonts w:cs="Arial"/>
          <w:smallCaps/>
        </w:rPr>
      </w:pPr>
      <w:r w:rsidRPr="005065A4">
        <w:rPr>
          <w:smallCaps/>
        </w:rPr>
        <w:t xml:space="preserve">By Delegates Hanna, Bridges, Clark, </w:t>
      </w:r>
      <w:r w:rsidR="00F71D9C" w:rsidRPr="005065A4">
        <w:rPr>
          <w:smallCaps/>
        </w:rPr>
        <w:t>E</w:t>
      </w:r>
      <w:r w:rsidRPr="005065A4">
        <w:rPr>
          <w:smallCaps/>
        </w:rPr>
        <w:t xml:space="preserve">llington, </w:t>
      </w:r>
      <w:r w:rsidRPr="005065A4">
        <w:rPr>
          <w:rFonts w:cs="Arial"/>
          <w:smallCaps/>
        </w:rPr>
        <w:t xml:space="preserve">Horst, Jennings, </w:t>
      </w:r>
      <w:proofErr w:type="spellStart"/>
      <w:r w:rsidRPr="005065A4">
        <w:rPr>
          <w:rFonts w:cs="Arial"/>
          <w:smallCaps/>
        </w:rPr>
        <w:t>Longanacre</w:t>
      </w:r>
      <w:proofErr w:type="spellEnd"/>
      <w:r w:rsidRPr="005065A4">
        <w:rPr>
          <w:rFonts w:cs="Arial"/>
          <w:smallCaps/>
        </w:rPr>
        <w:t xml:space="preserve">, </w:t>
      </w:r>
      <w:proofErr w:type="spellStart"/>
      <w:r w:rsidRPr="005065A4">
        <w:rPr>
          <w:rFonts w:cs="Arial"/>
          <w:smallCaps/>
        </w:rPr>
        <w:t>Mazzocchi</w:t>
      </w:r>
      <w:proofErr w:type="spellEnd"/>
      <w:r w:rsidR="004E2F0F" w:rsidRPr="005065A4">
        <w:rPr>
          <w:rFonts w:cs="Arial"/>
          <w:smallCaps/>
        </w:rPr>
        <w:t xml:space="preserve">, </w:t>
      </w:r>
      <w:r w:rsidR="00F71D9C" w:rsidRPr="005065A4">
        <w:rPr>
          <w:rFonts w:cs="Arial"/>
          <w:smallCaps/>
        </w:rPr>
        <w:t>T</w:t>
      </w:r>
      <w:r w:rsidRPr="005065A4">
        <w:rPr>
          <w:rFonts w:cs="Arial"/>
          <w:smallCaps/>
        </w:rPr>
        <w:t>ully</w:t>
      </w:r>
      <w:r w:rsidR="00A16567" w:rsidRPr="005065A4">
        <w:rPr>
          <w:rFonts w:cs="Arial"/>
          <w:smallCaps/>
        </w:rPr>
        <w:t>, Phillips</w:t>
      </w:r>
      <w:r w:rsidR="004E2F0F" w:rsidRPr="005065A4">
        <w:rPr>
          <w:rFonts w:cs="Arial"/>
          <w:smallCaps/>
        </w:rPr>
        <w:t xml:space="preserve"> and </w:t>
      </w:r>
      <w:proofErr w:type="spellStart"/>
      <w:r w:rsidR="004E2F0F" w:rsidRPr="005065A4">
        <w:rPr>
          <w:rFonts w:cs="Arial"/>
          <w:smallCaps/>
        </w:rPr>
        <w:t>Burkhammer</w:t>
      </w:r>
      <w:proofErr w:type="spellEnd"/>
    </w:p>
    <w:p w14:paraId="43B07EC1" w14:textId="64627B99" w:rsidR="00F71D9C" w:rsidRPr="005065A4" w:rsidRDefault="00CD36CF" w:rsidP="00C905A2">
      <w:pPr>
        <w:pStyle w:val="References"/>
        <w:rPr>
          <w:rFonts w:cs="Arial"/>
        </w:rPr>
        <w:sectPr w:rsidR="00F71D9C" w:rsidRPr="005065A4" w:rsidSect="00C905A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065A4">
        <w:rPr>
          <w:rFonts w:cs="Arial"/>
        </w:rPr>
        <w:t>[</w:t>
      </w:r>
      <w:sdt>
        <w:sdtPr>
          <w:rPr>
            <w:rFonts w:cs="Arial"/>
          </w:rPr>
          <w:tag w:val="References"/>
          <w:id w:val="-1043047873"/>
          <w:placeholder>
            <w:docPart w:val="EB79CF24A9C34DC4B671B0F2D2F2B47E"/>
          </w:placeholder>
          <w:text w:multiLine="1"/>
        </w:sdtPr>
        <w:sdtEndPr/>
        <w:sdtContent>
          <w:r w:rsidR="005065A4" w:rsidRPr="005065A4">
            <w:rPr>
              <w:rFonts w:cs="Arial"/>
            </w:rPr>
            <w:t>Passed April 9, 2021; in effect ninety days from passage.</w:t>
          </w:r>
        </w:sdtContent>
      </w:sdt>
      <w:r w:rsidRPr="005065A4">
        <w:rPr>
          <w:rFonts w:cs="Arial"/>
        </w:rPr>
        <w:t>]</w:t>
      </w:r>
    </w:p>
    <w:p w14:paraId="7D9AFFEF" w14:textId="12F45D6B" w:rsidR="00C905A2" w:rsidRPr="005065A4" w:rsidRDefault="00C905A2" w:rsidP="00C905A2">
      <w:pPr>
        <w:pStyle w:val="References"/>
        <w:rPr>
          <w:rFonts w:cs="Arial"/>
        </w:rPr>
      </w:pPr>
    </w:p>
    <w:p w14:paraId="439FEF71" w14:textId="38F73ECF" w:rsidR="00C905A2" w:rsidRPr="005065A4" w:rsidRDefault="005065A4" w:rsidP="00F71D9C">
      <w:pPr>
        <w:pStyle w:val="TitleSection"/>
      </w:pPr>
      <w:r w:rsidRPr="005065A4">
        <w:rPr>
          <w:rFonts w:cs="Arial"/>
        </w:rPr>
        <w:lastRenderedPageBreak/>
        <w:t>AN ACT to amend the Code of West Virginia, 1931, as amended, by adding thereto a new section, designated §18-2-25d, relating to</w:t>
      </w:r>
      <w:r w:rsidR="00992932">
        <w:rPr>
          <w:rFonts w:cs="Arial"/>
        </w:rPr>
        <w:t xml:space="preserve"> </w:t>
      </w:r>
      <w:r w:rsidRPr="005065A4">
        <w:rPr>
          <w:rFonts w:cs="Arial"/>
        </w:rPr>
        <w:t xml:space="preserve">designation of athletic teams or sports sponsored by any public secondary school or state institution of higher education according to biological sex; providing legislative findings; defining </w:t>
      </w:r>
      <w:r w:rsidR="00B74669">
        <w:rPr>
          <w:rFonts w:cs="Arial"/>
        </w:rPr>
        <w:t>“</w:t>
      </w:r>
      <w:r w:rsidRPr="005065A4">
        <w:rPr>
          <w:rFonts w:cs="Arial"/>
        </w:rPr>
        <w:t>biological sex</w:t>
      </w:r>
      <w:r w:rsidR="00B74669">
        <w:rPr>
          <w:rFonts w:cs="Arial"/>
        </w:rPr>
        <w:t>”</w:t>
      </w:r>
      <w:r w:rsidRPr="005065A4">
        <w:rPr>
          <w:rFonts w:cs="Arial"/>
        </w:rPr>
        <w:t xml:space="preserve">, </w:t>
      </w:r>
      <w:r w:rsidR="00B74669">
        <w:rPr>
          <w:rFonts w:cs="Arial"/>
        </w:rPr>
        <w:t>“</w:t>
      </w:r>
      <w:r w:rsidRPr="005065A4">
        <w:rPr>
          <w:rFonts w:cs="Arial"/>
        </w:rPr>
        <w:t>female</w:t>
      </w:r>
      <w:r w:rsidR="00B74669">
        <w:rPr>
          <w:rFonts w:cs="Arial"/>
        </w:rPr>
        <w:t>”</w:t>
      </w:r>
      <w:r w:rsidRPr="005065A4">
        <w:rPr>
          <w:rFonts w:cs="Arial"/>
        </w:rPr>
        <w:t xml:space="preserve">, and </w:t>
      </w:r>
      <w:r w:rsidR="00B74669">
        <w:rPr>
          <w:rFonts w:cs="Arial"/>
        </w:rPr>
        <w:t>“</w:t>
      </w:r>
      <w:r w:rsidRPr="005065A4">
        <w:rPr>
          <w:rFonts w:cs="Arial"/>
        </w:rPr>
        <w:t>male</w:t>
      </w:r>
      <w:r w:rsidR="00B74669">
        <w:rPr>
          <w:rFonts w:cs="Arial"/>
        </w:rPr>
        <w:t>”</w:t>
      </w:r>
      <w:r w:rsidRPr="005065A4">
        <w:rPr>
          <w:rFonts w:cs="Arial"/>
        </w:rPr>
        <w:t xml:space="preserve">; providing for designation of athletic teams as </w:t>
      </w:r>
      <w:r w:rsidR="00B74669">
        <w:rPr>
          <w:rFonts w:cs="Arial"/>
        </w:rPr>
        <w:t>“</w:t>
      </w:r>
      <w:r w:rsidRPr="005065A4">
        <w:rPr>
          <w:rFonts w:cs="Arial"/>
        </w:rPr>
        <w:t>males, men, or boys</w:t>
      </w:r>
      <w:r w:rsidR="00B74669">
        <w:rPr>
          <w:rFonts w:cs="Arial"/>
        </w:rPr>
        <w:t>”</w:t>
      </w:r>
      <w:r w:rsidRPr="005065A4">
        <w:rPr>
          <w:rFonts w:cs="Arial"/>
        </w:rPr>
        <w:t xml:space="preserve">, </w:t>
      </w:r>
      <w:r w:rsidR="00B74669">
        <w:rPr>
          <w:rFonts w:cs="Arial"/>
        </w:rPr>
        <w:t>“</w:t>
      </w:r>
      <w:r w:rsidRPr="005065A4">
        <w:rPr>
          <w:rFonts w:cs="Arial"/>
        </w:rPr>
        <w:t>females, women, or girls</w:t>
      </w:r>
      <w:r w:rsidR="00B74669">
        <w:rPr>
          <w:rFonts w:cs="Arial"/>
        </w:rPr>
        <w:t>”</w:t>
      </w:r>
      <w:r w:rsidRPr="005065A4">
        <w:rPr>
          <w:rFonts w:cs="Arial"/>
        </w:rPr>
        <w:t xml:space="preserve">, or </w:t>
      </w:r>
      <w:r w:rsidR="00B74669">
        <w:rPr>
          <w:rFonts w:cs="Arial"/>
        </w:rPr>
        <w:t>“</w:t>
      </w:r>
      <w:r w:rsidRPr="005065A4">
        <w:rPr>
          <w:rFonts w:cs="Arial"/>
        </w:rPr>
        <w:t>coed or mixed</w:t>
      </w:r>
      <w:r w:rsidR="00B74669">
        <w:rPr>
          <w:rFonts w:cs="Arial"/>
        </w:rPr>
        <w:t>”</w:t>
      </w:r>
      <w:r w:rsidRPr="005065A4">
        <w:rPr>
          <w:rFonts w:cs="Arial"/>
        </w:rPr>
        <w:t>; prohibiting biological males from participating on athletic teams or sports designated for biological females where competitive skill or contact is involved; clarifying that eligibility of any student to participate on athletic teams or sports designated for biological males is not restricted; providing cause of action for student aggrieved by violation of this section; requiring identity of minor student related to such action to remain anonymous; requiring promulgation of rules by the State Board of Education; and requiring proposal of legislative rules by the Higher Education Policy Commission and Council for Community and Technical College Education.</w:t>
      </w:r>
    </w:p>
    <w:p w14:paraId="69B18E1A" w14:textId="77777777" w:rsidR="00C905A2" w:rsidRPr="005065A4" w:rsidRDefault="00C905A2" w:rsidP="00F71D9C">
      <w:pPr>
        <w:pStyle w:val="EnactingClause"/>
        <w:sectPr w:rsidR="00C905A2" w:rsidRPr="005065A4" w:rsidSect="00F71D9C">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5065A4">
        <w:t>Be it enacted by the Legislature of West Virginia:</w:t>
      </w:r>
    </w:p>
    <w:p w14:paraId="317A527B" w14:textId="77777777" w:rsidR="005065A4" w:rsidRPr="005065A4" w:rsidRDefault="005065A4" w:rsidP="00106FAD">
      <w:pPr>
        <w:suppressLineNumbers/>
        <w:jc w:val="both"/>
        <w:rPr>
          <w:rFonts w:cs="Arial"/>
          <w:b/>
          <w:bCs/>
        </w:rPr>
      </w:pPr>
      <w:bookmarkStart w:id="0" w:name="_Hlk68186171"/>
      <w:r w:rsidRPr="005065A4">
        <w:rPr>
          <w:rFonts w:cs="Arial"/>
          <w:b/>
          <w:bCs/>
        </w:rPr>
        <w:t xml:space="preserve">ARTICLE 2. STATE BOARD OF EDUCATION. </w:t>
      </w:r>
    </w:p>
    <w:p w14:paraId="3CBB16DE" w14:textId="77777777" w:rsidR="005065A4" w:rsidRPr="005065A4" w:rsidRDefault="005065A4" w:rsidP="00106FAD">
      <w:pPr>
        <w:suppressLineNumbers/>
        <w:jc w:val="both"/>
        <w:rPr>
          <w:rFonts w:cs="Arial"/>
        </w:rPr>
      </w:pPr>
      <w:r w:rsidRPr="005065A4">
        <w:rPr>
          <w:rFonts w:cs="Arial"/>
          <w:b/>
          <w:bCs/>
        </w:rPr>
        <w:t xml:space="preserve">§18-2-25d. Clarifying participation for sports events to be based on biological sex of the </w:t>
      </w:r>
      <w:r w:rsidRPr="005065A4">
        <w:rPr>
          <w:rFonts w:cs="Arial"/>
          <w:b/>
          <w:bCs/>
        </w:rPr>
        <w:tab/>
        <w:t>athlete at birth.</w:t>
      </w:r>
    </w:p>
    <w:p w14:paraId="706928D9" w14:textId="77777777" w:rsidR="005065A4" w:rsidRPr="005065A4" w:rsidRDefault="005065A4" w:rsidP="00106FAD">
      <w:pPr>
        <w:ind w:firstLine="720"/>
        <w:jc w:val="both"/>
        <w:rPr>
          <w:rFonts w:cs="Arial"/>
        </w:rPr>
      </w:pPr>
      <w:r w:rsidRPr="005065A4">
        <w:rPr>
          <w:rFonts w:cs="Arial"/>
        </w:rPr>
        <w:t xml:space="preserve">(a) The Legislature hereby finds:  </w:t>
      </w:r>
    </w:p>
    <w:p w14:paraId="0D5103BF" w14:textId="77777777" w:rsidR="005065A4" w:rsidRPr="005065A4" w:rsidRDefault="005065A4" w:rsidP="001A1E29">
      <w:pPr>
        <w:ind w:firstLine="720"/>
        <w:jc w:val="both"/>
        <w:rPr>
          <w:rFonts w:cs="Arial"/>
        </w:rPr>
      </w:pPr>
      <w:r w:rsidRPr="005065A4">
        <w:rPr>
          <w:rFonts w:cs="Arial"/>
        </w:rPr>
        <w:t xml:space="preserve">(1) There are inherent differences between biological males and biological females, and that these differences are cause for celebration, as determined by the Supreme Court of the United States in </w:t>
      </w:r>
      <w:r w:rsidRPr="005065A4">
        <w:rPr>
          <w:rFonts w:cs="Arial"/>
          <w:i/>
          <w:iCs/>
        </w:rPr>
        <w:t>United States v. Virginia</w:t>
      </w:r>
      <w:r w:rsidRPr="005065A4">
        <w:rPr>
          <w:rFonts w:cs="Arial"/>
        </w:rPr>
        <w:t xml:space="preserve"> (1996</w:t>
      </w:r>
      <w:proofErr w:type="gramStart"/>
      <w:r w:rsidRPr="005065A4">
        <w:rPr>
          <w:rFonts w:cs="Arial"/>
        </w:rPr>
        <w:t>);</w:t>
      </w:r>
      <w:proofErr w:type="gramEnd"/>
    </w:p>
    <w:p w14:paraId="7809740D" w14:textId="36B21A85" w:rsidR="005065A4" w:rsidRPr="005065A4" w:rsidRDefault="005065A4" w:rsidP="001A1E29">
      <w:pPr>
        <w:ind w:firstLine="720"/>
        <w:jc w:val="both"/>
        <w:rPr>
          <w:rFonts w:cs="Arial"/>
        </w:rPr>
      </w:pPr>
      <w:r w:rsidRPr="005065A4">
        <w:rPr>
          <w:rFonts w:cs="Arial"/>
        </w:rPr>
        <w:t xml:space="preserve">(2) These inherent differences are not a valid justification for sex-based classifications that make overbroad generalizations or perpetuate the legal, social, and economic inferiority of either sex. Rather, these inherent differences are a valid justification for sex-based classifications when they realistically reflect the fact that the sexes are not similarly situated in certain circumstances, as recognized by the Supreme Court of the United States in </w:t>
      </w:r>
      <w:r w:rsidRPr="005065A4">
        <w:rPr>
          <w:rFonts w:cs="Arial"/>
          <w:i/>
          <w:iCs/>
        </w:rPr>
        <w:t xml:space="preserve">Michael M. v. Sonoma County, </w:t>
      </w:r>
      <w:r w:rsidRPr="005065A4">
        <w:rPr>
          <w:rFonts w:cs="Arial"/>
          <w:i/>
          <w:iCs/>
        </w:rPr>
        <w:lastRenderedPageBreak/>
        <w:t>Superior Court</w:t>
      </w:r>
      <w:r w:rsidRPr="005065A4">
        <w:rPr>
          <w:rFonts w:cs="Arial"/>
        </w:rPr>
        <w:t xml:space="preserve"> (1981) and the Supreme Court of Appeals of West Virginia in </w:t>
      </w:r>
      <w:r w:rsidRPr="005065A4">
        <w:rPr>
          <w:rFonts w:cs="Arial"/>
          <w:i/>
          <w:iCs/>
        </w:rPr>
        <w:t xml:space="preserve">Israel v. Secondary Schools Act. </w:t>
      </w:r>
      <w:proofErr w:type="spellStart"/>
      <w:r w:rsidRPr="005065A4">
        <w:rPr>
          <w:rFonts w:cs="Arial"/>
          <w:i/>
          <w:iCs/>
        </w:rPr>
        <w:t>Com</w:t>
      </w:r>
      <w:r w:rsidR="00B74669">
        <w:rPr>
          <w:rFonts w:cs="Arial"/>
          <w:i/>
          <w:iCs/>
        </w:rPr>
        <w:t>’</w:t>
      </w:r>
      <w:r w:rsidRPr="005065A4">
        <w:rPr>
          <w:rFonts w:cs="Arial"/>
          <w:i/>
          <w:iCs/>
        </w:rPr>
        <w:t>n</w:t>
      </w:r>
      <w:proofErr w:type="spellEnd"/>
      <w:r w:rsidRPr="005065A4">
        <w:rPr>
          <w:rFonts w:cs="Arial"/>
        </w:rPr>
        <w:t xml:space="preserve"> (1989</w:t>
      </w:r>
      <w:proofErr w:type="gramStart"/>
      <w:r w:rsidRPr="005065A4">
        <w:rPr>
          <w:rFonts w:cs="Arial"/>
        </w:rPr>
        <w:t>);</w:t>
      </w:r>
      <w:proofErr w:type="gramEnd"/>
    </w:p>
    <w:p w14:paraId="1DB6035F" w14:textId="29325C84" w:rsidR="005065A4" w:rsidRPr="005065A4" w:rsidRDefault="005065A4" w:rsidP="005A19F5">
      <w:pPr>
        <w:ind w:firstLine="720"/>
        <w:jc w:val="both"/>
        <w:rPr>
          <w:rFonts w:cs="Arial"/>
        </w:rPr>
      </w:pPr>
      <w:r w:rsidRPr="005065A4">
        <w:rPr>
          <w:rFonts w:cs="Arial"/>
        </w:rPr>
        <w:t xml:space="preserve">(3) In the context of sports involving competitive skill or contact, biological males and biological females are not in fact similarly situated. Biological males would displace females to a substantial extent if permitted to compete on teams designated for biological females, as recognized in </w:t>
      </w:r>
      <w:r w:rsidRPr="005065A4">
        <w:rPr>
          <w:rFonts w:cs="Arial"/>
          <w:i/>
          <w:iCs/>
        </w:rPr>
        <w:t xml:space="preserve">Clark v. Ariz. Interscholastic </w:t>
      </w:r>
      <w:proofErr w:type="spellStart"/>
      <w:r w:rsidRPr="005065A4">
        <w:rPr>
          <w:rFonts w:cs="Arial"/>
          <w:i/>
          <w:iCs/>
        </w:rPr>
        <w:t>Ass</w:t>
      </w:r>
      <w:r w:rsidR="00B74669">
        <w:rPr>
          <w:rFonts w:cs="Arial"/>
          <w:i/>
          <w:iCs/>
        </w:rPr>
        <w:t>’</w:t>
      </w:r>
      <w:r w:rsidRPr="005065A4">
        <w:rPr>
          <w:rFonts w:cs="Arial"/>
          <w:i/>
          <w:iCs/>
        </w:rPr>
        <w:t>n</w:t>
      </w:r>
      <w:proofErr w:type="spellEnd"/>
      <w:r w:rsidRPr="005065A4">
        <w:rPr>
          <w:rFonts w:cs="Arial"/>
        </w:rPr>
        <w:t xml:space="preserve"> (9th Cir. 1982</w:t>
      </w:r>
      <w:proofErr w:type="gramStart"/>
      <w:r w:rsidRPr="005065A4">
        <w:rPr>
          <w:rFonts w:cs="Arial"/>
        </w:rPr>
        <w:t>);</w:t>
      </w:r>
      <w:proofErr w:type="gramEnd"/>
    </w:p>
    <w:p w14:paraId="6AAC15AC" w14:textId="384F6D32" w:rsidR="005065A4" w:rsidRPr="005065A4" w:rsidRDefault="005065A4" w:rsidP="00F754C5">
      <w:pPr>
        <w:ind w:firstLine="720"/>
        <w:jc w:val="both"/>
        <w:rPr>
          <w:rFonts w:cs="Arial"/>
        </w:rPr>
      </w:pPr>
      <w:r w:rsidRPr="005065A4">
        <w:rPr>
          <w:rFonts w:cs="Arial"/>
        </w:rPr>
        <w:t xml:space="preserve">(4) Although necessarily related, as concluded by the United States Supreme Court in </w:t>
      </w:r>
      <w:r w:rsidRPr="005065A4">
        <w:rPr>
          <w:rFonts w:cs="Arial"/>
          <w:i/>
          <w:iCs/>
        </w:rPr>
        <w:t>Bostock v. Clayton County</w:t>
      </w:r>
      <w:r w:rsidRPr="005065A4">
        <w:rPr>
          <w:rFonts w:cs="Arial"/>
        </w:rPr>
        <w:t xml:space="preserve"> (2020), gender identity is separate and distinct from biological sex to the extent that an individual</w:t>
      </w:r>
      <w:r w:rsidR="00B74669">
        <w:rPr>
          <w:rFonts w:cs="Arial"/>
        </w:rPr>
        <w:t>’</w:t>
      </w:r>
      <w:r w:rsidRPr="005065A4">
        <w:rPr>
          <w:rFonts w:cs="Arial"/>
        </w:rPr>
        <w:t>s biological sex is not determinative or indicative of the individual</w:t>
      </w:r>
      <w:r w:rsidR="00B74669">
        <w:rPr>
          <w:rFonts w:cs="Arial"/>
        </w:rPr>
        <w:t>’</w:t>
      </w:r>
      <w:r w:rsidRPr="005065A4">
        <w:rPr>
          <w:rFonts w:cs="Arial"/>
        </w:rPr>
        <w:t>s gender identity. Classifications based on gender identity serve no legitimate relationship to the State of West Virginia</w:t>
      </w:r>
      <w:r w:rsidR="00B74669">
        <w:rPr>
          <w:rFonts w:cs="Arial"/>
        </w:rPr>
        <w:t>’</w:t>
      </w:r>
      <w:r w:rsidRPr="005065A4">
        <w:rPr>
          <w:rFonts w:cs="Arial"/>
        </w:rPr>
        <w:t>s interest in promoting equal athletic opportunities for the female sex; and</w:t>
      </w:r>
    </w:p>
    <w:p w14:paraId="66C8503B" w14:textId="77777777" w:rsidR="005065A4" w:rsidRPr="005065A4" w:rsidRDefault="005065A4" w:rsidP="00F754C5">
      <w:pPr>
        <w:ind w:firstLine="720"/>
        <w:jc w:val="both"/>
        <w:rPr>
          <w:rFonts w:cs="Arial"/>
        </w:rPr>
      </w:pPr>
      <w:r w:rsidRPr="005065A4">
        <w:rPr>
          <w:rFonts w:cs="Arial"/>
        </w:rPr>
        <w:t xml:space="preserve">(5) Classification of teams according to biological sex is necessary to promote equal athletic opportunities for the female sex.  </w:t>
      </w:r>
    </w:p>
    <w:p w14:paraId="2DBAE517" w14:textId="77777777" w:rsidR="005065A4" w:rsidRPr="005065A4" w:rsidRDefault="005065A4" w:rsidP="00106FAD">
      <w:pPr>
        <w:ind w:firstLine="720"/>
        <w:jc w:val="both"/>
        <w:rPr>
          <w:rFonts w:cs="Arial"/>
        </w:rPr>
      </w:pPr>
      <w:r w:rsidRPr="005065A4">
        <w:rPr>
          <w:rFonts w:cs="Arial"/>
        </w:rPr>
        <w:t>(b) Definitions. - As used in this section, the following words have the meanings ascribed to them unless the context clearly implies a different meaning:</w:t>
      </w:r>
    </w:p>
    <w:p w14:paraId="75F36E48" w14:textId="13EF8F8F" w:rsidR="005065A4" w:rsidRPr="005065A4" w:rsidRDefault="005065A4" w:rsidP="00980D77">
      <w:pPr>
        <w:ind w:firstLine="720"/>
        <w:jc w:val="both"/>
        <w:rPr>
          <w:rFonts w:cs="Arial"/>
        </w:rPr>
      </w:pPr>
      <w:r w:rsidRPr="005065A4">
        <w:rPr>
          <w:rFonts w:cs="Arial"/>
        </w:rPr>
        <w:t xml:space="preserve">(1) </w:t>
      </w:r>
      <w:r w:rsidR="00B74669">
        <w:rPr>
          <w:rFonts w:cs="Arial"/>
        </w:rPr>
        <w:t>“</w:t>
      </w:r>
      <w:r w:rsidRPr="005065A4">
        <w:rPr>
          <w:rFonts w:cs="Arial"/>
        </w:rPr>
        <w:t>Biological sex</w:t>
      </w:r>
      <w:r w:rsidR="00B74669">
        <w:rPr>
          <w:rFonts w:cs="Arial"/>
        </w:rPr>
        <w:t>”</w:t>
      </w:r>
      <w:r w:rsidRPr="005065A4">
        <w:rPr>
          <w:rFonts w:cs="Arial"/>
        </w:rPr>
        <w:t xml:space="preserve"> means an individual</w:t>
      </w:r>
      <w:r w:rsidR="00B74669">
        <w:rPr>
          <w:rFonts w:cs="Arial"/>
        </w:rPr>
        <w:t>’</w:t>
      </w:r>
      <w:r w:rsidRPr="005065A4">
        <w:rPr>
          <w:rFonts w:cs="Arial"/>
        </w:rPr>
        <w:t>s physical form as a male or female based solely on the individual</w:t>
      </w:r>
      <w:r w:rsidR="00B74669">
        <w:rPr>
          <w:rFonts w:cs="Arial"/>
        </w:rPr>
        <w:t>’</w:t>
      </w:r>
      <w:r w:rsidRPr="005065A4">
        <w:rPr>
          <w:rFonts w:cs="Arial"/>
        </w:rPr>
        <w:t xml:space="preserve">s reproductive biology and genetics at birth. </w:t>
      </w:r>
    </w:p>
    <w:p w14:paraId="16DAB293" w14:textId="18777199" w:rsidR="005065A4" w:rsidRPr="005065A4" w:rsidRDefault="005065A4" w:rsidP="00106FAD">
      <w:pPr>
        <w:ind w:firstLine="720"/>
        <w:jc w:val="both"/>
        <w:rPr>
          <w:rFonts w:cs="Arial"/>
        </w:rPr>
      </w:pPr>
      <w:r w:rsidRPr="005065A4">
        <w:rPr>
          <w:rFonts w:cs="Arial"/>
        </w:rPr>
        <w:t xml:space="preserve">(2) </w:t>
      </w:r>
      <w:r w:rsidR="00B74669">
        <w:rPr>
          <w:rFonts w:cs="Arial"/>
        </w:rPr>
        <w:t>“</w:t>
      </w:r>
      <w:r w:rsidRPr="005065A4">
        <w:rPr>
          <w:rFonts w:cs="Arial"/>
        </w:rPr>
        <w:t>Female</w:t>
      </w:r>
      <w:r w:rsidR="00B74669">
        <w:rPr>
          <w:rFonts w:cs="Arial"/>
        </w:rPr>
        <w:t>”</w:t>
      </w:r>
      <w:r w:rsidRPr="005065A4">
        <w:rPr>
          <w:rFonts w:cs="Arial"/>
        </w:rPr>
        <w:t xml:space="preserve"> means an individual whose biological sex determined at birth is female. As used in this section, </w:t>
      </w:r>
      <w:r w:rsidR="00B74669">
        <w:rPr>
          <w:rFonts w:cs="Arial"/>
        </w:rPr>
        <w:t>“</w:t>
      </w:r>
      <w:r w:rsidRPr="005065A4">
        <w:rPr>
          <w:rFonts w:cs="Arial"/>
        </w:rPr>
        <w:t>women</w:t>
      </w:r>
      <w:r w:rsidR="00B74669">
        <w:rPr>
          <w:rFonts w:cs="Arial"/>
        </w:rPr>
        <w:t>”</w:t>
      </w:r>
      <w:r w:rsidRPr="005065A4">
        <w:rPr>
          <w:rFonts w:cs="Arial"/>
        </w:rPr>
        <w:t xml:space="preserve"> or </w:t>
      </w:r>
      <w:r w:rsidR="00B74669">
        <w:rPr>
          <w:rFonts w:cs="Arial"/>
        </w:rPr>
        <w:t>“</w:t>
      </w:r>
      <w:r w:rsidRPr="005065A4">
        <w:rPr>
          <w:rFonts w:cs="Arial"/>
        </w:rPr>
        <w:t>girls</w:t>
      </w:r>
      <w:r w:rsidR="00B74669">
        <w:rPr>
          <w:rFonts w:cs="Arial"/>
        </w:rPr>
        <w:t>”</w:t>
      </w:r>
      <w:r w:rsidRPr="005065A4">
        <w:rPr>
          <w:rFonts w:cs="Arial"/>
        </w:rPr>
        <w:t xml:space="preserve"> refers to biological females. </w:t>
      </w:r>
    </w:p>
    <w:p w14:paraId="5F0172F7" w14:textId="3D456A30" w:rsidR="005065A4" w:rsidRPr="005065A4" w:rsidRDefault="005065A4" w:rsidP="00106FAD">
      <w:pPr>
        <w:ind w:firstLine="720"/>
        <w:jc w:val="both"/>
        <w:rPr>
          <w:rFonts w:cs="Arial"/>
        </w:rPr>
      </w:pPr>
      <w:r w:rsidRPr="005065A4">
        <w:rPr>
          <w:rFonts w:cs="Arial"/>
        </w:rPr>
        <w:t xml:space="preserve">(3) </w:t>
      </w:r>
      <w:r w:rsidR="00B74669">
        <w:rPr>
          <w:rFonts w:cs="Arial"/>
        </w:rPr>
        <w:t>“</w:t>
      </w:r>
      <w:r w:rsidRPr="005065A4">
        <w:rPr>
          <w:rFonts w:cs="Arial"/>
        </w:rPr>
        <w:t>Male</w:t>
      </w:r>
      <w:r w:rsidR="00B74669">
        <w:rPr>
          <w:rFonts w:cs="Arial"/>
        </w:rPr>
        <w:t>”</w:t>
      </w:r>
      <w:r w:rsidRPr="005065A4">
        <w:rPr>
          <w:rFonts w:cs="Arial"/>
        </w:rPr>
        <w:t xml:space="preserve"> means an individual whose biological sex determined at birth is male. As used in this section, </w:t>
      </w:r>
      <w:r w:rsidR="00B74669">
        <w:rPr>
          <w:rFonts w:cs="Arial"/>
        </w:rPr>
        <w:t>“</w:t>
      </w:r>
      <w:r w:rsidRPr="005065A4">
        <w:rPr>
          <w:rFonts w:cs="Arial"/>
        </w:rPr>
        <w:t>men</w:t>
      </w:r>
      <w:r w:rsidR="00B74669">
        <w:rPr>
          <w:rFonts w:cs="Arial"/>
        </w:rPr>
        <w:t>”</w:t>
      </w:r>
      <w:r w:rsidRPr="005065A4">
        <w:rPr>
          <w:rFonts w:cs="Arial"/>
        </w:rPr>
        <w:t xml:space="preserve"> or </w:t>
      </w:r>
      <w:r w:rsidR="00B74669">
        <w:rPr>
          <w:rFonts w:cs="Arial"/>
        </w:rPr>
        <w:t>“</w:t>
      </w:r>
      <w:r w:rsidRPr="005065A4">
        <w:rPr>
          <w:rFonts w:cs="Arial"/>
        </w:rPr>
        <w:t>boys</w:t>
      </w:r>
      <w:r w:rsidR="00B74669">
        <w:rPr>
          <w:rFonts w:cs="Arial"/>
        </w:rPr>
        <w:t>”</w:t>
      </w:r>
      <w:r w:rsidRPr="005065A4">
        <w:rPr>
          <w:rFonts w:cs="Arial"/>
        </w:rPr>
        <w:t xml:space="preserve"> refers to biological males. </w:t>
      </w:r>
    </w:p>
    <w:p w14:paraId="55A44519" w14:textId="6E707333" w:rsidR="005065A4" w:rsidRPr="005065A4" w:rsidRDefault="005065A4" w:rsidP="00106FAD">
      <w:pPr>
        <w:ind w:firstLine="720"/>
        <w:jc w:val="both"/>
        <w:rPr>
          <w:rFonts w:cs="Arial"/>
        </w:rPr>
      </w:pPr>
      <w:r w:rsidRPr="005065A4">
        <w:rPr>
          <w:rFonts w:cs="Arial"/>
        </w:rPr>
        <w:t xml:space="preserve">(c) Designation of Athletic Teams. </w:t>
      </w:r>
      <w:r w:rsidR="00B74669">
        <w:rPr>
          <w:rFonts w:cs="Arial"/>
        </w:rPr>
        <w:t>—</w:t>
      </w:r>
    </w:p>
    <w:p w14:paraId="19FBA1FB" w14:textId="77777777" w:rsidR="005065A4" w:rsidRPr="005065A4" w:rsidRDefault="005065A4" w:rsidP="00106FAD">
      <w:pPr>
        <w:ind w:firstLine="720"/>
        <w:jc w:val="both"/>
        <w:rPr>
          <w:rFonts w:cs="Arial"/>
        </w:rPr>
      </w:pPr>
      <w:r w:rsidRPr="005065A4">
        <w:rPr>
          <w:rFonts w:cs="Arial"/>
        </w:rPr>
        <w:lastRenderedPageBreak/>
        <w:t xml:space="preserve">(1) Interscholastic, intercollegiate, intramural, or club athletic teams or sports that are sponsored by any public secondary school or a state institution of higher education, including a state institution that is a member of the National Collegiate Athletic Association (NCAA), National Association of Intercollegiate Athletics (NAIA), or National Junior College Athletic Association (NJCAA), shall be expressly designated as one of the following based on biological sex: </w:t>
      </w:r>
    </w:p>
    <w:p w14:paraId="6581E21D" w14:textId="77777777" w:rsidR="005065A4" w:rsidRPr="005065A4" w:rsidRDefault="005065A4" w:rsidP="004D51B5">
      <w:pPr>
        <w:ind w:firstLine="720"/>
        <w:jc w:val="both"/>
        <w:rPr>
          <w:rFonts w:cs="Arial"/>
        </w:rPr>
      </w:pPr>
      <w:r w:rsidRPr="005065A4">
        <w:rPr>
          <w:rFonts w:cs="Arial"/>
        </w:rPr>
        <w:t xml:space="preserve">(A) Males, men, or </w:t>
      </w:r>
      <w:proofErr w:type="gramStart"/>
      <w:r w:rsidRPr="005065A4">
        <w:rPr>
          <w:rFonts w:cs="Arial"/>
        </w:rPr>
        <w:t>boys;</w:t>
      </w:r>
      <w:proofErr w:type="gramEnd"/>
      <w:r w:rsidRPr="005065A4">
        <w:rPr>
          <w:rFonts w:cs="Arial"/>
        </w:rPr>
        <w:t xml:space="preserve"> </w:t>
      </w:r>
    </w:p>
    <w:p w14:paraId="42CC5AC3" w14:textId="77777777" w:rsidR="005065A4" w:rsidRPr="005065A4" w:rsidRDefault="005065A4" w:rsidP="004D51B5">
      <w:pPr>
        <w:ind w:firstLine="720"/>
        <w:jc w:val="both"/>
        <w:rPr>
          <w:rFonts w:cs="Arial"/>
        </w:rPr>
      </w:pPr>
      <w:r w:rsidRPr="005065A4">
        <w:rPr>
          <w:rFonts w:cs="Arial"/>
        </w:rPr>
        <w:t xml:space="preserve">(B) Females, women, or girls; or </w:t>
      </w:r>
    </w:p>
    <w:p w14:paraId="34C2B7B8" w14:textId="77777777" w:rsidR="005065A4" w:rsidRPr="005065A4" w:rsidRDefault="005065A4" w:rsidP="004D51B5">
      <w:pPr>
        <w:ind w:firstLine="720"/>
        <w:jc w:val="both"/>
        <w:rPr>
          <w:rFonts w:cs="Arial"/>
        </w:rPr>
      </w:pPr>
      <w:r w:rsidRPr="005065A4">
        <w:rPr>
          <w:rFonts w:cs="Arial"/>
        </w:rPr>
        <w:t xml:space="preserve">(C) Coed or mixed. </w:t>
      </w:r>
    </w:p>
    <w:p w14:paraId="2D0ECF42" w14:textId="77777777" w:rsidR="005065A4" w:rsidRPr="005065A4" w:rsidRDefault="005065A4" w:rsidP="002F2464">
      <w:pPr>
        <w:ind w:firstLine="720"/>
        <w:jc w:val="both"/>
        <w:rPr>
          <w:rFonts w:cs="Arial"/>
        </w:rPr>
      </w:pPr>
      <w:r w:rsidRPr="005065A4">
        <w:rPr>
          <w:rFonts w:cs="Arial"/>
        </w:rPr>
        <w:t>(2) Athletic teams or sports designated for females, women, or girls shall not be open to students of the male sex where selection for such teams is based upon competitive skill or the activity involved is a contact sport.</w:t>
      </w:r>
    </w:p>
    <w:p w14:paraId="2C31E068" w14:textId="1FD5B274" w:rsidR="005065A4" w:rsidRPr="005065A4" w:rsidRDefault="005065A4" w:rsidP="002F2464">
      <w:pPr>
        <w:ind w:firstLine="720"/>
        <w:jc w:val="both"/>
        <w:rPr>
          <w:rFonts w:cs="Arial"/>
        </w:rPr>
      </w:pPr>
      <w:r w:rsidRPr="005065A4">
        <w:rPr>
          <w:rFonts w:cs="Arial"/>
        </w:rPr>
        <w:t xml:space="preserve">(3) Nothing in this section shall be construed to restrict the eligibility of any student to participate in any interscholastic, intercollegiate, or intramural athletic teams or sports designated as </w:t>
      </w:r>
      <w:r w:rsidR="00B74669">
        <w:rPr>
          <w:rFonts w:cs="Arial"/>
        </w:rPr>
        <w:t>“</w:t>
      </w:r>
      <w:r w:rsidRPr="005065A4">
        <w:rPr>
          <w:rFonts w:cs="Arial"/>
        </w:rPr>
        <w:t>males,</w:t>
      </w:r>
      <w:r w:rsidR="00B74669">
        <w:rPr>
          <w:rFonts w:cs="Arial"/>
        </w:rPr>
        <w:t>”</w:t>
      </w:r>
      <w:r w:rsidRPr="005065A4">
        <w:rPr>
          <w:rFonts w:cs="Arial"/>
        </w:rPr>
        <w:t xml:space="preserve"> </w:t>
      </w:r>
      <w:r w:rsidR="00B74669">
        <w:rPr>
          <w:rFonts w:cs="Arial"/>
        </w:rPr>
        <w:t>“</w:t>
      </w:r>
      <w:r w:rsidRPr="005065A4">
        <w:rPr>
          <w:rFonts w:cs="Arial"/>
        </w:rPr>
        <w:t>men,</w:t>
      </w:r>
      <w:r w:rsidR="00B74669">
        <w:rPr>
          <w:rFonts w:cs="Arial"/>
        </w:rPr>
        <w:t>”</w:t>
      </w:r>
      <w:r w:rsidRPr="005065A4">
        <w:rPr>
          <w:rFonts w:cs="Arial"/>
        </w:rPr>
        <w:t xml:space="preserve"> or </w:t>
      </w:r>
      <w:r w:rsidR="00B74669">
        <w:rPr>
          <w:rFonts w:cs="Arial"/>
        </w:rPr>
        <w:t>“</w:t>
      </w:r>
      <w:r w:rsidRPr="005065A4">
        <w:rPr>
          <w:rFonts w:cs="Arial"/>
        </w:rPr>
        <w:t>boys</w:t>
      </w:r>
      <w:r w:rsidR="00B74669">
        <w:rPr>
          <w:rFonts w:cs="Arial"/>
        </w:rPr>
        <w:t>”</w:t>
      </w:r>
      <w:r w:rsidRPr="005065A4">
        <w:rPr>
          <w:rFonts w:cs="Arial"/>
        </w:rPr>
        <w:t xml:space="preserve"> or designated as </w:t>
      </w:r>
      <w:r w:rsidR="00B74669">
        <w:rPr>
          <w:rFonts w:cs="Arial"/>
        </w:rPr>
        <w:t>“</w:t>
      </w:r>
      <w:r w:rsidRPr="005065A4">
        <w:rPr>
          <w:rFonts w:cs="Arial"/>
        </w:rPr>
        <w:t>coed</w:t>
      </w:r>
      <w:r w:rsidR="00B74669">
        <w:rPr>
          <w:rFonts w:cs="Arial"/>
        </w:rPr>
        <w:t>”</w:t>
      </w:r>
      <w:r w:rsidRPr="005065A4">
        <w:rPr>
          <w:rFonts w:cs="Arial"/>
        </w:rPr>
        <w:t xml:space="preserve"> or </w:t>
      </w:r>
      <w:r w:rsidR="00B74669">
        <w:rPr>
          <w:rFonts w:cs="Arial"/>
        </w:rPr>
        <w:t>“</w:t>
      </w:r>
      <w:r w:rsidRPr="005065A4">
        <w:rPr>
          <w:rFonts w:cs="Arial"/>
        </w:rPr>
        <w:t>mixed</w:t>
      </w:r>
      <w:r w:rsidR="00B74669">
        <w:rPr>
          <w:rFonts w:cs="Arial"/>
        </w:rPr>
        <w:t>”</w:t>
      </w:r>
      <w:r w:rsidRPr="005065A4">
        <w:rPr>
          <w:rFonts w:cs="Arial"/>
        </w:rPr>
        <w:t xml:space="preserve">: </w:t>
      </w:r>
      <w:r w:rsidRPr="00B74669">
        <w:rPr>
          <w:rFonts w:cs="Arial"/>
          <w:i/>
          <w:iCs/>
        </w:rPr>
        <w:t>Provided</w:t>
      </w:r>
      <w:r w:rsidRPr="005065A4">
        <w:rPr>
          <w:rFonts w:cs="Arial"/>
          <w:i/>
          <w:iCs/>
        </w:rPr>
        <w:t>,</w:t>
      </w:r>
      <w:r w:rsidRPr="005065A4">
        <w:rPr>
          <w:rFonts w:cs="Arial"/>
        </w:rPr>
        <w:t xml:space="preserve"> </w:t>
      </w:r>
      <w:proofErr w:type="gramStart"/>
      <w:r w:rsidRPr="005065A4">
        <w:rPr>
          <w:rFonts w:cs="Arial"/>
        </w:rPr>
        <w:t>That</w:t>
      </w:r>
      <w:proofErr w:type="gramEnd"/>
      <w:r w:rsidRPr="005065A4">
        <w:rPr>
          <w:rFonts w:cs="Arial"/>
        </w:rPr>
        <w:t xml:space="preserve"> selection for a team may still be based on those who try out and possess the requisite skill to make the team.  </w:t>
      </w:r>
    </w:p>
    <w:p w14:paraId="107ACFEC" w14:textId="09BEBBDB" w:rsidR="005065A4" w:rsidRPr="005065A4" w:rsidRDefault="005065A4" w:rsidP="0066769C">
      <w:pPr>
        <w:ind w:firstLine="720"/>
        <w:jc w:val="both"/>
        <w:rPr>
          <w:rFonts w:cs="Arial"/>
        </w:rPr>
      </w:pPr>
      <w:r w:rsidRPr="005065A4">
        <w:rPr>
          <w:rFonts w:cs="Arial"/>
        </w:rPr>
        <w:t xml:space="preserve">(d) Cause of Action. </w:t>
      </w:r>
      <w:r w:rsidR="00B74669">
        <w:rPr>
          <w:rFonts w:cs="Arial"/>
        </w:rPr>
        <w:t>—</w:t>
      </w:r>
    </w:p>
    <w:p w14:paraId="528757EA" w14:textId="354AC978" w:rsidR="005065A4" w:rsidRPr="005065A4" w:rsidRDefault="005065A4" w:rsidP="0066769C">
      <w:pPr>
        <w:ind w:firstLine="720"/>
        <w:jc w:val="both"/>
        <w:rPr>
          <w:rFonts w:cs="Arial"/>
        </w:rPr>
      </w:pPr>
      <w:r w:rsidRPr="005065A4">
        <w:rPr>
          <w:rFonts w:cs="Arial"/>
        </w:rPr>
        <w:t>(1) Any student aggrieved by a violation of this section may bring an action against a county board of education or state institution of higher education alleged to be responsible for the alleged violation. The aggrieved student may seek injunctive relief and actual damages, as well as reasonable attorney</w:t>
      </w:r>
      <w:r w:rsidR="00B74669">
        <w:rPr>
          <w:rFonts w:cs="Arial"/>
        </w:rPr>
        <w:t>’</w:t>
      </w:r>
      <w:r w:rsidRPr="005065A4">
        <w:rPr>
          <w:rFonts w:cs="Arial"/>
        </w:rPr>
        <w:t xml:space="preserve">s fee and court costs, if the student substantially prevails. </w:t>
      </w:r>
    </w:p>
    <w:p w14:paraId="2D449B47" w14:textId="77777777" w:rsidR="005065A4" w:rsidRPr="005065A4" w:rsidRDefault="005065A4" w:rsidP="0066769C">
      <w:pPr>
        <w:ind w:firstLine="720"/>
        <w:jc w:val="both"/>
        <w:rPr>
          <w:rFonts w:cs="Arial"/>
        </w:rPr>
      </w:pPr>
      <w:r w:rsidRPr="005065A4">
        <w:rPr>
          <w:rFonts w:cs="Arial"/>
        </w:rPr>
        <w:t>(2) In any private action brought pursuant to this section, the identity of a minor student shall remain private and anonymous.</w:t>
      </w:r>
    </w:p>
    <w:p w14:paraId="715C9D9A" w14:textId="77777777" w:rsidR="002A7F85" w:rsidRDefault="005065A4" w:rsidP="005065A4">
      <w:pPr>
        <w:ind w:firstLine="720"/>
        <w:jc w:val="both"/>
        <w:rPr>
          <w:rFonts w:cs="Arial"/>
        </w:rPr>
        <w:sectPr w:rsidR="002A7F85" w:rsidSect="00F14E5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5065A4">
        <w:rPr>
          <w:rFonts w:cs="Arial"/>
        </w:rPr>
        <w:lastRenderedPageBreak/>
        <w:t xml:space="preserve">(e) The State Board of Education shall promulgate rules, including emergency rules, pursuant to §29A-3B-1 </w:t>
      </w:r>
      <w:r w:rsidRPr="005065A4">
        <w:rPr>
          <w:rFonts w:cs="Arial"/>
          <w:i/>
          <w:iCs/>
        </w:rPr>
        <w:t>et. seq.</w:t>
      </w:r>
      <w:r w:rsidRPr="005065A4">
        <w:rPr>
          <w:rFonts w:cs="Arial"/>
        </w:rPr>
        <w:t xml:space="preserve"> of this code to implement the provisions of this section. The Higher Education Policy Commission and the Council for Community and Technical College Education shall promulgate emergency rules and propose rules for legislative approval pursuant to §29A-3A-1 </w:t>
      </w:r>
      <w:r w:rsidRPr="005065A4">
        <w:rPr>
          <w:rFonts w:cs="Arial"/>
          <w:i/>
          <w:iCs/>
        </w:rPr>
        <w:t>et. seq</w:t>
      </w:r>
      <w:r w:rsidRPr="005065A4">
        <w:rPr>
          <w:rFonts w:cs="Arial"/>
        </w:rPr>
        <w:t>. of this code to implement the provisions of this section.</w:t>
      </w:r>
    </w:p>
    <w:p w14:paraId="3DA8145C" w14:textId="77777777" w:rsidR="002A7F85" w:rsidRDefault="002A7F85" w:rsidP="005065A4">
      <w:pPr>
        <w:ind w:firstLine="720"/>
        <w:jc w:val="both"/>
        <w:rPr>
          <w:rFonts w:cs="Arial"/>
        </w:rPr>
        <w:sectPr w:rsidR="002A7F85" w:rsidSect="002A7F85">
          <w:pgSz w:w="12240" w:h="15840" w:code="1"/>
          <w:pgMar w:top="1440" w:right="1440" w:bottom="1440" w:left="1440" w:header="720" w:footer="720" w:gutter="0"/>
          <w:cols w:space="720"/>
          <w:titlePg/>
          <w:docGrid w:linePitch="360"/>
        </w:sectPr>
      </w:pPr>
    </w:p>
    <w:p w14:paraId="5293AA71" w14:textId="77777777" w:rsidR="002A7F85" w:rsidRPr="00227EB7" w:rsidRDefault="002A7F85" w:rsidP="002A7F85">
      <w:pPr>
        <w:spacing w:line="240" w:lineRule="auto"/>
        <w:ind w:left="720" w:right="720" w:firstLine="360"/>
        <w:jc w:val="both"/>
        <w:rPr>
          <w:rFonts w:cs="Arial"/>
        </w:rPr>
      </w:pPr>
      <w:r w:rsidRPr="00227EB7">
        <w:rPr>
          <w:rFonts w:cs="Arial"/>
        </w:rPr>
        <w:t>The Joint Committee on Enrolled Bills hereby certifies that the foregoing bill is correctly enrolled.</w:t>
      </w:r>
    </w:p>
    <w:p w14:paraId="05FE8F50" w14:textId="77777777" w:rsidR="002A7F85" w:rsidRPr="00227EB7" w:rsidRDefault="002A7F85" w:rsidP="002A7F85">
      <w:pPr>
        <w:pStyle w:val="SectionBody"/>
        <w:spacing w:line="240" w:lineRule="auto"/>
        <w:rPr>
          <w:rFonts w:cs="Arial"/>
        </w:rPr>
      </w:pPr>
    </w:p>
    <w:p w14:paraId="11CCB6DF" w14:textId="77777777" w:rsidR="002A7F85" w:rsidRPr="00227EB7" w:rsidRDefault="002A7F85" w:rsidP="002A7F85">
      <w:pPr>
        <w:spacing w:line="240" w:lineRule="auto"/>
        <w:ind w:left="720" w:right="720" w:firstLine="180"/>
        <w:rPr>
          <w:rFonts w:cs="Arial"/>
        </w:rPr>
      </w:pPr>
    </w:p>
    <w:p w14:paraId="75905570" w14:textId="77777777" w:rsidR="002A7F85" w:rsidRPr="00227EB7" w:rsidRDefault="002A7F85" w:rsidP="002A7F85">
      <w:pPr>
        <w:spacing w:line="240" w:lineRule="auto"/>
        <w:ind w:left="720" w:right="720"/>
        <w:rPr>
          <w:rFonts w:cs="Arial"/>
        </w:rPr>
      </w:pPr>
      <w:r w:rsidRPr="00227EB7">
        <w:rPr>
          <w:rFonts w:cs="Arial"/>
        </w:rPr>
        <w:t>...............................................................</w:t>
      </w:r>
    </w:p>
    <w:p w14:paraId="3D2A8E04" w14:textId="77777777" w:rsidR="002A7F85" w:rsidRPr="00227EB7" w:rsidRDefault="002A7F85" w:rsidP="002A7F85">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249711B0" w14:textId="77777777" w:rsidR="002A7F85" w:rsidRPr="00227EB7" w:rsidRDefault="002A7F85" w:rsidP="002A7F85">
      <w:pPr>
        <w:spacing w:line="240" w:lineRule="auto"/>
        <w:ind w:left="720" w:right="720"/>
        <w:rPr>
          <w:rFonts w:cs="Arial"/>
        </w:rPr>
      </w:pPr>
    </w:p>
    <w:p w14:paraId="528E456F" w14:textId="77777777" w:rsidR="002A7F85" w:rsidRPr="00227EB7" w:rsidRDefault="002A7F85" w:rsidP="002A7F85">
      <w:pPr>
        <w:spacing w:line="240" w:lineRule="auto"/>
        <w:ind w:left="720" w:right="720"/>
        <w:rPr>
          <w:rFonts w:cs="Arial"/>
        </w:rPr>
      </w:pPr>
    </w:p>
    <w:p w14:paraId="370A8B84" w14:textId="77777777" w:rsidR="002A7F85" w:rsidRPr="00227EB7" w:rsidRDefault="002A7F85" w:rsidP="002A7F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2A9718C7" w14:textId="77777777" w:rsidR="002A7F85" w:rsidRPr="00227EB7" w:rsidRDefault="002A7F85" w:rsidP="002A7F85">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019E4B43" w14:textId="77777777" w:rsidR="002A7F85" w:rsidRPr="00227EB7" w:rsidRDefault="002A7F85" w:rsidP="002A7F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30B9E8F6" w14:textId="77777777" w:rsidR="002A7F85" w:rsidRPr="00227EB7" w:rsidRDefault="002A7F85" w:rsidP="002A7F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72AF1DE" w14:textId="77777777" w:rsidR="002A7F85" w:rsidRPr="00227EB7" w:rsidRDefault="002A7F85" w:rsidP="002A7F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758DC872" w14:textId="77777777" w:rsidR="002A7F85" w:rsidRPr="00227EB7" w:rsidRDefault="002A7F85" w:rsidP="002A7F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B4FAA0F" w14:textId="77777777" w:rsidR="002A7F85" w:rsidRPr="00227EB7" w:rsidRDefault="002A7F85" w:rsidP="002A7F85">
      <w:pPr>
        <w:spacing w:line="240" w:lineRule="auto"/>
        <w:ind w:left="720" w:right="720"/>
        <w:rPr>
          <w:rFonts w:cs="Arial"/>
        </w:rPr>
      </w:pPr>
      <w:r w:rsidRPr="00227EB7">
        <w:rPr>
          <w:rFonts w:cs="Arial"/>
        </w:rPr>
        <w:t>In effect</w:t>
      </w:r>
      <w:r>
        <w:rPr>
          <w:rFonts w:cs="Arial"/>
        </w:rPr>
        <w:t xml:space="preserve"> ninety days</w:t>
      </w:r>
      <w:r w:rsidRPr="00227EB7">
        <w:rPr>
          <w:rFonts w:cs="Arial"/>
        </w:rPr>
        <w:t xml:space="preserve"> from passage.</w:t>
      </w:r>
    </w:p>
    <w:p w14:paraId="1A3BE9FA" w14:textId="77777777" w:rsidR="002A7F85" w:rsidRPr="00227EB7" w:rsidRDefault="002A7F85" w:rsidP="002A7F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78BDE36" w14:textId="77777777" w:rsidR="002A7F85" w:rsidRPr="00227EB7" w:rsidRDefault="002A7F85" w:rsidP="002A7F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BD86E8C"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5915BBC9" w14:textId="77777777" w:rsidR="002A7F85" w:rsidRPr="00227EB7" w:rsidRDefault="002A7F85" w:rsidP="002A7F85">
      <w:pPr>
        <w:tabs>
          <w:tab w:val="center" w:pos="2610"/>
        </w:tabs>
        <w:spacing w:line="240" w:lineRule="auto"/>
        <w:ind w:right="720"/>
        <w:rPr>
          <w:rFonts w:cs="Arial"/>
        </w:rPr>
      </w:pPr>
      <w:r w:rsidRPr="00227EB7">
        <w:rPr>
          <w:rFonts w:cs="Arial"/>
          <w:i/>
          <w:iCs/>
        </w:rPr>
        <w:tab/>
        <w:t>Clerk of the House of Delegates</w:t>
      </w:r>
    </w:p>
    <w:p w14:paraId="31D20070"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60678A2C"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F2CB0BE"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70856567" w14:textId="77777777" w:rsidR="002A7F85" w:rsidRPr="00227EB7" w:rsidRDefault="002A7F85" w:rsidP="002A7F85">
      <w:pPr>
        <w:tabs>
          <w:tab w:val="left" w:pos="-1255"/>
          <w:tab w:val="left" w:pos="-720"/>
          <w:tab w:val="center" w:pos="3960"/>
        </w:tabs>
        <w:spacing w:line="240" w:lineRule="auto"/>
        <w:ind w:right="720"/>
        <w:rPr>
          <w:rFonts w:cs="Arial"/>
        </w:rPr>
      </w:pPr>
      <w:r w:rsidRPr="00227EB7">
        <w:rPr>
          <w:rFonts w:cs="Arial"/>
          <w:i/>
          <w:iCs/>
        </w:rPr>
        <w:tab/>
        <w:t>Clerk of the Senate</w:t>
      </w:r>
    </w:p>
    <w:p w14:paraId="48900E56"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5982E510"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D9A7F44"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7B110F1E" w14:textId="77777777" w:rsidR="002A7F85" w:rsidRPr="00227EB7" w:rsidRDefault="002A7F85" w:rsidP="002A7F85">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587DF3AC"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2F9FE66"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7BA184FD"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7E77DA83" w14:textId="77777777" w:rsidR="002A7F85" w:rsidRPr="00227EB7" w:rsidRDefault="002A7F85" w:rsidP="002A7F85">
      <w:pPr>
        <w:tabs>
          <w:tab w:val="center" w:pos="6210"/>
        </w:tabs>
        <w:spacing w:line="240" w:lineRule="auto"/>
        <w:ind w:right="720"/>
        <w:rPr>
          <w:rFonts w:cs="Arial"/>
        </w:rPr>
      </w:pPr>
      <w:r w:rsidRPr="00227EB7">
        <w:rPr>
          <w:rFonts w:cs="Arial"/>
        </w:rPr>
        <w:tab/>
      </w:r>
      <w:r w:rsidRPr="00227EB7">
        <w:rPr>
          <w:rFonts w:cs="Arial"/>
          <w:i/>
          <w:iCs/>
        </w:rPr>
        <w:t>President of the Senate</w:t>
      </w:r>
    </w:p>
    <w:p w14:paraId="5706D67D"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C5F5FD6"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1EC7A32" w14:textId="77777777" w:rsidR="002A7F85" w:rsidRPr="00227EB7" w:rsidRDefault="002A7F85" w:rsidP="002A7F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5818A7C1" w14:textId="77777777" w:rsidR="002A7F85" w:rsidRPr="00227EB7" w:rsidRDefault="002A7F85" w:rsidP="002A7F85">
      <w:pPr>
        <w:spacing w:line="240" w:lineRule="auto"/>
        <w:ind w:right="720"/>
        <w:jc w:val="both"/>
        <w:rPr>
          <w:rFonts w:cs="Arial"/>
        </w:rPr>
      </w:pPr>
    </w:p>
    <w:p w14:paraId="44E87DEA" w14:textId="77777777" w:rsidR="002A7F85" w:rsidRPr="00227EB7" w:rsidRDefault="002A7F85" w:rsidP="002A7F85">
      <w:pPr>
        <w:spacing w:line="240" w:lineRule="auto"/>
        <w:ind w:right="720"/>
        <w:jc w:val="both"/>
        <w:rPr>
          <w:rFonts w:cs="Arial"/>
        </w:rPr>
      </w:pPr>
    </w:p>
    <w:p w14:paraId="26335BF1" w14:textId="77777777" w:rsidR="002A7F85" w:rsidRPr="00227EB7" w:rsidRDefault="002A7F85" w:rsidP="002A7F85">
      <w:pPr>
        <w:spacing w:line="240" w:lineRule="auto"/>
        <w:ind w:left="720" w:right="720"/>
        <w:jc w:val="both"/>
        <w:rPr>
          <w:rFonts w:cs="Arial"/>
        </w:rPr>
      </w:pPr>
    </w:p>
    <w:p w14:paraId="1B5AEF8A" w14:textId="77777777" w:rsidR="002A7F85" w:rsidRPr="00227EB7" w:rsidRDefault="002A7F85" w:rsidP="002A7F85">
      <w:pPr>
        <w:tabs>
          <w:tab w:val="left" w:pos="1080"/>
        </w:tabs>
        <w:spacing w:line="240" w:lineRule="auto"/>
        <w:ind w:left="720" w:right="720"/>
        <w:jc w:val="both"/>
        <w:rPr>
          <w:rFonts w:cs="Arial"/>
        </w:rPr>
      </w:pPr>
      <w:r w:rsidRPr="00227EB7">
        <w:rPr>
          <w:rFonts w:cs="Arial"/>
        </w:rPr>
        <w:tab/>
        <w:t>The within ................................................... this the...........................................</w:t>
      </w:r>
    </w:p>
    <w:p w14:paraId="0AA44373" w14:textId="77777777" w:rsidR="002A7F85" w:rsidRPr="00227EB7" w:rsidRDefault="002A7F85" w:rsidP="002A7F85">
      <w:pPr>
        <w:tabs>
          <w:tab w:val="left" w:pos="1080"/>
        </w:tabs>
        <w:spacing w:line="240" w:lineRule="auto"/>
        <w:ind w:left="720" w:right="720"/>
        <w:jc w:val="both"/>
        <w:rPr>
          <w:rFonts w:cs="Arial"/>
        </w:rPr>
      </w:pPr>
    </w:p>
    <w:p w14:paraId="5ABC3CBC" w14:textId="77777777" w:rsidR="002A7F85" w:rsidRPr="00227EB7" w:rsidRDefault="002A7F85" w:rsidP="002A7F85">
      <w:pPr>
        <w:spacing w:line="240" w:lineRule="auto"/>
        <w:ind w:left="720" w:right="720"/>
        <w:jc w:val="both"/>
        <w:rPr>
          <w:rFonts w:cs="Arial"/>
        </w:rPr>
      </w:pPr>
      <w:r w:rsidRPr="00227EB7">
        <w:rPr>
          <w:rFonts w:cs="Arial"/>
        </w:rPr>
        <w:t xml:space="preserve">day of ..........................................................................................................., </w:t>
      </w:r>
      <w:r>
        <w:rPr>
          <w:rFonts w:cs="Arial"/>
        </w:rPr>
        <w:t>2021</w:t>
      </w:r>
      <w:r w:rsidRPr="00227EB7">
        <w:rPr>
          <w:rFonts w:cs="Arial"/>
        </w:rPr>
        <w:t>.</w:t>
      </w:r>
    </w:p>
    <w:p w14:paraId="0272EDB7" w14:textId="77777777" w:rsidR="002A7F85" w:rsidRPr="00227EB7" w:rsidRDefault="002A7F85" w:rsidP="002A7F85">
      <w:pPr>
        <w:spacing w:line="240" w:lineRule="auto"/>
        <w:ind w:left="720" w:right="720"/>
        <w:jc w:val="both"/>
        <w:rPr>
          <w:rFonts w:cs="Arial"/>
        </w:rPr>
      </w:pPr>
    </w:p>
    <w:p w14:paraId="0E162ACC" w14:textId="77777777" w:rsidR="002A7F85" w:rsidRPr="00227EB7" w:rsidRDefault="002A7F85" w:rsidP="002A7F85">
      <w:pPr>
        <w:spacing w:line="240" w:lineRule="auto"/>
        <w:ind w:left="720" w:right="720"/>
        <w:jc w:val="both"/>
        <w:rPr>
          <w:rFonts w:cs="Arial"/>
        </w:rPr>
      </w:pPr>
    </w:p>
    <w:p w14:paraId="03749920" w14:textId="77777777" w:rsidR="002A7F85" w:rsidRPr="00227EB7" w:rsidRDefault="002A7F85" w:rsidP="002A7F85">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2B230FE8" w14:textId="77777777" w:rsidR="002A7F85" w:rsidRPr="0089333F" w:rsidRDefault="002A7F85" w:rsidP="002A7F85">
      <w:pPr>
        <w:pStyle w:val="SectionBody"/>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p w14:paraId="3B32F67C" w14:textId="7B59C359" w:rsidR="005065A4" w:rsidRPr="005065A4" w:rsidRDefault="005065A4" w:rsidP="005065A4">
      <w:pPr>
        <w:ind w:firstLine="720"/>
        <w:jc w:val="both"/>
        <w:rPr>
          <w:rFonts w:cs="Arial"/>
        </w:rPr>
      </w:pPr>
    </w:p>
    <w:bookmarkEnd w:id="0"/>
    <w:sectPr w:rsidR="005065A4" w:rsidRPr="005065A4" w:rsidSect="00835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2DBF" w14:textId="77777777" w:rsidR="00C905A2" w:rsidRDefault="00C905A2" w:rsidP="00D11C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942A9D" w14:textId="77777777" w:rsidR="00C905A2" w:rsidRPr="00C905A2" w:rsidRDefault="00C905A2" w:rsidP="00C90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D9A4" w14:textId="18776197" w:rsidR="00C905A2" w:rsidRDefault="00C905A2" w:rsidP="00D11C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E184BC" w14:textId="4F070949" w:rsidR="00C905A2" w:rsidRPr="00C905A2" w:rsidRDefault="00C905A2" w:rsidP="00C90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937A" w14:textId="77777777" w:rsidR="006B7528" w:rsidRDefault="005065A4" w:rsidP="002F24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16BB83" w14:textId="77777777" w:rsidR="006B7528" w:rsidRDefault="002A7F85">
    <w:pPr>
      <w:pStyle w:val="Footer"/>
    </w:pPr>
  </w:p>
  <w:p w14:paraId="672464BB" w14:textId="77777777" w:rsidR="006B7528" w:rsidRDefault="002A7F85"/>
  <w:p w14:paraId="7A395975" w14:textId="77777777" w:rsidR="006B7528" w:rsidRDefault="002A7F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512242"/>
      <w:docPartObj>
        <w:docPartGallery w:val="Page Numbers (Bottom of Page)"/>
        <w:docPartUnique/>
      </w:docPartObj>
    </w:sdtPr>
    <w:sdtEndPr>
      <w:rPr>
        <w:noProof/>
      </w:rPr>
    </w:sdtEndPr>
    <w:sdtContent>
      <w:p w14:paraId="21A67527" w14:textId="4FE40197" w:rsidR="00913478" w:rsidRDefault="009134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113E1" w14:textId="6259D872" w:rsidR="00C905A2" w:rsidRPr="00C905A2" w:rsidRDefault="00C905A2" w:rsidP="00C905A2">
    <w:pPr>
      <w:pStyle w:val="Header"/>
    </w:pPr>
    <w:r>
      <w:t>CS for HB 3293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2CB5" w14:textId="2CE3F6D0" w:rsidR="00C905A2" w:rsidRPr="00C905A2" w:rsidRDefault="00C905A2" w:rsidP="00C905A2">
    <w:pPr>
      <w:pStyle w:val="Header"/>
    </w:pPr>
    <w:r>
      <w:t>CS for HB 3293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D0CEE" w14:textId="61EFDBA3" w:rsidR="00F71D9C" w:rsidRPr="00C905A2" w:rsidRDefault="00D14192" w:rsidP="00C905A2">
    <w:pPr>
      <w:pStyle w:val="Header"/>
    </w:pPr>
    <w:proofErr w:type="spellStart"/>
    <w:r>
      <w:t>Enr</w:t>
    </w:r>
    <w:proofErr w:type="spellEnd"/>
    <w:r>
      <w:t xml:space="preserve"> </w:t>
    </w:r>
    <w:r w:rsidR="00F71D9C">
      <w:t>CS for HB 3293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FAB33" w14:textId="77777777" w:rsidR="006B7528" w:rsidRDefault="002A7F85">
    <w:pPr>
      <w:pStyle w:val="Header"/>
    </w:pPr>
  </w:p>
  <w:p w14:paraId="656783F7" w14:textId="77777777" w:rsidR="006B7528" w:rsidRDefault="002A7F85"/>
  <w:p w14:paraId="4F3E7CA9" w14:textId="77777777" w:rsidR="006B7528" w:rsidRDefault="002A7F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2CADF" w14:textId="77777777" w:rsidR="003C3D8A" w:rsidRPr="00C905A2" w:rsidRDefault="003C3D8A" w:rsidP="003C3D8A">
    <w:pPr>
      <w:pStyle w:val="Header"/>
    </w:pPr>
    <w:proofErr w:type="spellStart"/>
    <w:r>
      <w:t>Enr</w:t>
    </w:r>
    <w:proofErr w:type="spellEnd"/>
    <w:r>
      <w:t xml:space="preserve"> CS for HB 3293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81D6D"/>
    <w:rsid w:val="00085D22"/>
    <w:rsid w:val="000C5C77"/>
    <w:rsid w:val="000E3E0B"/>
    <w:rsid w:val="000E647E"/>
    <w:rsid w:val="000F22B7"/>
    <w:rsid w:val="0010070F"/>
    <w:rsid w:val="0015112E"/>
    <w:rsid w:val="001552E7"/>
    <w:rsid w:val="001566B4"/>
    <w:rsid w:val="00191A28"/>
    <w:rsid w:val="001C279E"/>
    <w:rsid w:val="001D459E"/>
    <w:rsid w:val="002010BF"/>
    <w:rsid w:val="002020AD"/>
    <w:rsid w:val="0027011C"/>
    <w:rsid w:val="00274200"/>
    <w:rsid w:val="00275740"/>
    <w:rsid w:val="002A0269"/>
    <w:rsid w:val="002A7F85"/>
    <w:rsid w:val="00301F44"/>
    <w:rsid w:val="00303684"/>
    <w:rsid w:val="003143F5"/>
    <w:rsid w:val="00314854"/>
    <w:rsid w:val="00331B5A"/>
    <w:rsid w:val="003C3D8A"/>
    <w:rsid w:val="003C51CD"/>
    <w:rsid w:val="004247A2"/>
    <w:rsid w:val="00464D4B"/>
    <w:rsid w:val="004B2795"/>
    <w:rsid w:val="004C13DD"/>
    <w:rsid w:val="004E2F0F"/>
    <w:rsid w:val="004E3441"/>
    <w:rsid w:val="004F7D26"/>
    <w:rsid w:val="005065A4"/>
    <w:rsid w:val="005241C4"/>
    <w:rsid w:val="00562810"/>
    <w:rsid w:val="005A5366"/>
    <w:rsid w:val="00637E73"/>
    <w:rsid w:val="006865E9"/>
    <w:rsid w:val="00691F3E"/>
    <w:rsid w:val="00694BFB"/>
    <w:rsid w:val="006A106B"/>
    <w:rsid w:val="006B0C51"/>
    <w:rsid w:val="006C523D"/>
    <w:rsid w:val="006D4036"/>
    <w:rsid w:val="0070502F"/>
    <w:rsid w:val="007E02CF"/>
    <w:rsid w:val="007F1CF5"/>
    <w:rsid w:val="00834EDE"/>
    <w:rsid w:val="008736AA"/>
    <w:rsid w:val="008D275D"/>
    <w:rsid w:val="00913478"/>
    <w:rsid w:val="009318F8"/>
    <w:rsid w:val="00954B98"/>
    <w:rsid w:val="00980327"/>
    <w:rsid w:val="00992932"/>
    <w:rsid w:val="009C1EA5"/>
    <w:rsid w:val="009F1067"/>
    <w:rsid w:val="00A13F8A"/>
    <w:rsid w:val="00A16567"/>
    <w:rsid w:val="00A31E01"/>
    <w:rsid w:val="00A527AD"/>
    <w:rsid w:val="00A718CF"/>
    <w:rsid w:val="00A72E7C"/>
    <w:rsid w:val="00AB1FF4"/>
    <w:rsid w:val="00AC3B58"/>
    <w:rsid w:val="00AE48A0"/>
    <w:rsid w:val="00AE61BE"/>
    <w:rsid w:val="00B16F25"/>
    <w:rsid w:val="00B24422"/>
    <w:rsid w:val="00B32B03"/>
    <w:rsid w:val="00B74669"/>
    <w:rsid w:val="00B80C20"/>
    <w:rsid w:val="00B844FE"/>
    <w:rsid w:val="00BC562B"/>
    <w:rsid w:val="00C33014"/>
    <w:rsid w:val="00C33434"/>
    <w:rsid w:val="00C34869"/>
    <w:rsid w:val="00C42EB6"/>
    <w:rsid w:val="00C85096"/>
    <w:rsid w:val="00C905A2"/>
    <w:rsid w:val="00CB20EF"/>
    <w:rsid w:val="00CD12CB"/>
    <w:rsid w:val="00CD36CF"/>
    <w:rsid w:val="00CF1DCA"/>
    <w:rsid w:val="00D14192"/>
    <w:rsid w:val="00D27498"/>
    <w:rsid w:val="00D579FC"/>
    <w:rsid w:val="00DE526B"/>
    <w:rsid w:val="00DF199D"/>
    <w:rsid w:val="00E01542"/>
    <w:rsid w:val="00E365F1"/>
    <w:rsid w:val="00E50B3D"/>
    <w:rsid w:val="00E62F48"/>
    <w:rsid w:val="00E831B3"/>
    <w:rsid w:val="00EB203E"/>
    <w:rsid w:val="00EB5FDD"/>
    <w:rsid w:val="00EE70CB"/>
    <w:rsid w:val="00F23775"/>
    <w:rsid w:val="00F41CA2"/>
    <w:rsid w:val="00F443C0"/>
    <w:rsid w:val="00F62EFB"/>
    <w:rsid w:val="00F71D9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2455203"/>
  <w15:chartTrackingRefBased/>
  <w15:docId w15:val="{69213374-4414-42B6-A683-87E9067A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905A2"/>
  </w:style>
  <w:style w:type="character" w:customStyle="1" w:styleId="SectionBodyChar">
    <w:name w:val="Section Body Char"/>
    <w:link w:val="SectionBody"/>
    <w:rsid w:val="002A7F8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A17B27"/>
    <w:rsid w:val="00A36AC3"/>
    <w:rsid w:val="00AF368D"/>
    <w:rsid w:val="00BA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AF368D"/>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1013</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Seth Wright</cp:lastModifiedBy>
  <cp:revision>10</cp:revision>
  <cp:lastPrinted>2021-03-18T20:25:00Z</cp:lastPrinted>
  <dcterms:created xsi:type="dcterms:W3CDTF">2021-04-10T14:27:00Z</dcterms:created>
  <dcterms:modified xsi:type="dcterms:W3CDTF">2021-04-10T14:30:00Z</dcterms:modified>
</cp:coreProperties>
</file>