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ABDEAB" w14:textId="485900BC" w:rsidR="00FE067E" w:rsidRPr="00AE3C70" w:rsidRDefault="0055052A" w:rsidP="00CC1F3B">
      <w:pPr>
        <w:pStyle w:val="TitlePageOrigin"/>
        <w:rPr>
          <w:color w:val="auto"/>
        </w:rPr>
      </w:pPr>
      <w:r>
        <w:rPr>
          <w:noProof/>
          <w:color w:val="auto"/>
        </w:rPr>
        <mc:AlternateContent>
          <mc:Choice Requires="wps">
            <w:drawing>
              <wp:anchor distT="0" distB="0" distL="114300" distR="114300" simplePos="0" relativeHeight="251660288" behindDoc="0" locked="0" layoutInCell="1" allowOverlap="1" wp14:anchorId="197E028B" wp14:editId="1C294831">
                <wp:simplePos x="0" y="0"/>
                <wp:positionH relativeFrom="column">
                  <wp:posOffset>6007100</wp:posOffset>
                </wp:positionH>
                <wp:positionV relativeFrom="paragraph">
                  <wp:posOffset>2260600</wp:posOffset>
                </wp:positionV>
                <wp:extent cx="635000" cy="476250"/>
                <wp:effectExtent l="0" t="0" r="12700" b="19050"/>
                <wp:wrapNone/>
                <wp:docPr id="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EF8A88D" w14:textId="4896ACA4" w:rsidR="0055052A" w:rsidRPr="0055052A" w:rsidRDefault="0055052A" w:rsidP="0055052A">
                            <w:pPr>
                              <w:spacing w:line="240" w:lineRule="auto"/>
                              <w:jc w:val="center"/>
                              <w:rPr>
                                <w:rFonts w:ascii="Arial" w:hAnsi="Arial" w:cs="Arial"/>
                                <w:b/>
                              </w:rPr>
                            </w:pPr>
                            <w:r w:rsidRPr="0055052A">
                              <w:rPr>
                                <w:rFonts w:ascii="Arial" w:hAnsi="Arial"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7E028B"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" filled="f" strokeweight=".5pt">
                <v:fill o:detectmouseclick="t"/>
                <v:textbox inset="0,5pt,0,0">
                  <w:txbxContent>
                    <w:p w14:paraId="5EF8A88D" w14:textId="4896ACA4" w:rsidR="0055052A" w:rsidRPr="0055052A" w:rsidRDefault="0055052A" w:rsidP="0055052A">
                      <w:pPr>
                        <w:spacing w:line="240" w:lineRule="auto"/>
                        <w:jc w:val="center"/>
                        <w:rPr>
                          <w:rFonts w:ascii="Arial" w:hAnsi="Arial" w:cs="Arial"/>
                          <w:b/>
                        </w:rPr>
                      </w:pPr>
                      <w:r w:rsidRPr="0055052A">
                        <w:rPr>
                          <w:rFonts w:ascii="Arial" w:hAnsi="Arial" w:cs="Arial"/>
                          <w:b/>
                        </w:rPr>
                        <w:t>FISCAL NOTE</w:t>
                      </w:r>
                    </w:p>
                  </w:txbxContent>
                </v:textbox>
              </v:shape>
            </w:pict>
          </mc:Fallback>
        </mc:AlternateContent>
      </w:r>
      <w:r w:rsidR="00CD36CF" w:rsidRPr="00AE3C70">
        <w:rPr>
          <w:color w:val="auto"/>
        </w:rPr>
        <w:t>WEST virginia legislature</w:t>
      </w:r>
    </w:p>
    <w:p w14:paraId="068A18B3" w14:textId="0905B88C" w:rsidR="00CD36CF" w:rsidRPr="00AE3C70" w:rsidRDefault="00CD36CF" w:rsidP="00CC1F3B">
      <w:pPr>
        <w:pStyle w:val="TitlePageSession"/>
        <w:rPr>
          <w:color w:val="auto"/>
        </w:rPr>
      </w:pPr>
      <w:r w:rsidRPr="00AE3C70">
        <w:rPr>
          <w:color w:val="auto"/>
        </w:rPr>
        <w:t>20</w:t>
      </w:r>
      <w:r w:rsidR="00CB1ADC" w:rsidRPr="00AE3C70">
        <w:rPr>
          <w:color w:val="auto"/>
        </w:rPr>
        <w:t>2</w:t>
      </w:r>
      <w:r w:rsidR="006203EB" w:rsidRPr="00AE3C70">
        <w:rPr>
          <w:color w:val="auto"/>
        </w:rPr>
        <w:t>1</w:t>
      </w:r>
      <w:r w:rsidRPr="00AE3C70">
        <w:rPr>
          <w:color w:val="auto"/>
        </w:rPr>
        <w:t xml:space="preserve"> regular session</w:t>
      </w:r>
    </w:p>
    <w:p w14:paraId="7AE23595" w14:textId="060E608C" w:rsidR="00CD36CF" w:rsidRPr="00AE3C70" w:rsidRDefault="006203EB" w:rsidP="00CC1F3B">
      <w:pPr>
        <w:pStyle w:val="TitlePageBillPrefix"/>
        <w:rPr>
          <w:color w:val="auto"/>
        </w:rPr>
      </w:pPr>
      <w:r w:rsidRPr="00AE3C70">
        <w:rPr>
          <w:noProof/>
          <w:color w:val="auto"/>
        </w:rPr>
        <mc:AlternateContent>
          <mc:Choice Requires="wps">
            <w:drawing>
              <wp:anchor distT="0" distB="0" distL="114300" distR="114300" simplePos="0" relativeHeight="251659264" behindDoc="0" locked="0" layoutInCell="1" allowOverlap="1" wp14:anchorId="58C1DE0E" wp14:editId="278A017F">
                <wp:simplePos x="0" y="0"/>
                <wp:positionH relativeFrom="column">
                  <wp:posOffset>7569909</wp:posOffset>
                </wp:positionH>
                <wp:positionV relativeFrom="paragraph">
                  <wp:posOffset>486735</wp:posOffset>
                </wp:positionV>
                <wp:extent cx="45719" cy="476250"/>
                <wp:effectExtent l="0" t="0" r="12065" b="19050"/>
                <wp:wrapNone/>
                <wp:docPr id="1" name="Fiscal"/>
                <wp:cNvGraphicFramePr/>
                <a:graphic xmlns:a="http://schemas.openxmlformats.org/drawingml/2006/main">
                  <a:graphicData uri="http://schemas.microsoft.com/office/word/2010/wordprocessingShape">
                    <wps:wsp>
                      <wps:cNvSpPr txBox="1"/>
                      <wps:spPr>
                        <a:xfrm flipH="1">
                          <a:off x="0" y="0"/>
                          <a:ext cx="45719" cy="476250"/>
                        </a:xfrm>
                        <a:prstGeom prst="rect">
                          <a:avLst/>
                        </a:prstGeom>
                        <a:noFill/>
                        <a:ln w="6350">
                          <a:solidFill>
                            <a:prstClr val="black"/>
                          </a:solidFill>
                        </a:ln>
                      </wps:spPr>
                      <wps:txbx>
                        <w:txbxContent>
                          <w:p w14:paraId="455CC311" w14:textId="085C7AA6" w:rsidR="00F522A8" w:rsidRPr="00F522A8" w:rsidRDefault="00F522A8" w:rsidP="00F522A8">
                            <w:pPr>
                              <w:spacing w:line="240" w:lineRule="auto"/>
                              <w:jc w:val="center"/>
                              <w:rPr>
                                <w:rFonts w:ascii="Arial" w:hAnsi="Arial" w:cs="Arial"/>
                                <w:b/>
                              </w:rPr>
                            </w:pPr>
                            <w:r w:rsidRPr="00F522A8">
                              <w:rPr>
                                <w:rFonts w:ascii="Arial" w:hAnsi="Arial"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1DE0E" id="_x0000_s1027" type="#_x0000_t202" style="position:absolute;left:0;text-align:left;margin-left:596.05pt;margin-top:38.35pt;width:3.6pt;height:3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" filled="f" strokeweight=".5pt">
                <v:textbox inset="0,5pt,0,0">
                  <w:txbxContent>
                    <w:p w14:paraId="455CC311" w14:textId="085C7AA6" w:rsidR="00F522A8" w:rsidRPr="00F522A8" w:rsidRDefault="00F522A8" w:rsidP="00F522A8">
                      <w:pPr>
                        <w:spacing w:line="240" w:lineRule="auto"/>
                        <w:jc w:val="center"/>
                        <w:rPr>
                          <w:rFonts w:ascii="Arial" w:hAnsi="Arial" w:cs="Arial"/>
                          <w:b/>
                        </w:rPr>
                      </w:pPr>
                      <w:r w:rsidRPr="00F522A8">
                        <w:rPr>
                          <w:rFonts w:ascii="Arial" w:hAnsi="Arial" w:cs="Arial"/>
                          <w:b/>
                        </w:rPr>
                        <w:t>FISCAL NOTE</w:t>
                      </w:r>
                    </w:p>
                  </w:txbxContent>
                </v:textbox>
              </v:shape>
            </w:pict>
          </mc:Fallback>
        </mc:AlternateContent>
      </w:r>
      <w:sdt>
        <w:sdtPr>
          <w:rPr>
            <w:color w:val="auto"/>
          </w:rPr>
          <w:tag w:val="IntroDate"/>
          <w:id w:val="-1236936958"/>
          <w:placeholder>
            <w:docPart w:val="64E3A0EBAC7448AAAB52635558CB8EE7"/>
          </w:placeholder>
          <w:text/>
        </w:sdtPr>
        <w:sdtEndPr/>
        <w:sdtContent>
          <w:r w:rsidR="00AE48A0" w:rsidRPr="00AE3C70">
            <w:rPr>
              <w:color w:val="auto"/>
            </w:rPr>
            <w:t>Introduced</w:t>
          </w:r>
        </w:sdtContent>
      </w:sdt>
    </w:p>
    <w:p w14:paraId="532E9BED" w14:textId="4D5857A6" w:rsidR="00CD36CF" w:rsidRPr="00AE3C70" w:rsidRDefault="008765FF" w:rsidP="00CC1F3B">
      <w:pPr>
        <w:pStyle w:val="BillNumber"/>
        <w:rPr>
          <w:color w:val="auto"/>
        </w:rPr>
      </w:pPr>
      <w:sdt>
        <w:sdtPr>
          <w:rPr>
            <w:color w:val="auto"/>
          </w:rPr>
          <w:tag w:val="Chamber"/>
          <w:id w:val="893011969"/>
          <w:lock w:val="sdtLocked"/>
          <w:placeholder>
            <w:docPart w:val="34B749578BFC4448940F0E3061FC37EF"/>
          </w:placeholder>
          <w:dropDownList>
            <w:listItem w:displayText="House" w:value="House"/>
            <w:listItem w:displayText="Senate" w:value="Senate"/>
          </w:dropDownList>
        </w:sdtPr>
        <w:sdtEndPr/>
        <w:sdtContent>
          <w:r w:rsidR="001F4AA4" w:rsidRPr="00AE3C70">
            <w:rPr>
              <w:color w:val="auto"/>
            </w:rPr>
            <w:t>Senate</w:t>
          </w:r>
        </w:sdtContent>
      </w:sdt>
      <w:r w:rsidR="00303684" w:rsidRPr="00AE3C70">
        <w:rPr>
          <w:color w:val="auto"/>
        </w:rPr>
        <w:t xml:space="preserve"> </w:t>
      </w:r>
      <w:r w:rsidR="00CD36CF" w:rsidRPr="00AE3C70">
        <w:rPr>
          <w:color w:val="auto"/>
        </w:rPr>
        <w:t xml:space="preserve">Bill </w:t>
      </w:r>
      <w:sdt>
        <w:sdtPr>
          <w:rPr>
            <w:color w:val="auto"/>
          </w:rPr>
          <w:tag w:val="BNum"/>
          <w:id w:val="1645317809"/>
          <w:lock w:val="sdtLocked"/>
          <w:placeholder>
            <w:docPart w:val="7DB4938FCD974571AAEE3F7D28AF2910"/>
          </w:placeholder>
          <w:text/>
        </w:sdtPr>
        <w:sdtEndPr/>
        <w:sdtContent>
          <w:r w:rsidR="005443E8">
            <w:rPr>
              <w:color w:val="auto"/>
            </w:rPr>
            <w:t>47</w:t>
          </w:r>
        </w:sdtContent>
      </w:sdt>
    </w:p>
    <w:p w14:paraId="3E20A43F" w14:textId="45D70CDC" w:rsidR="00CD36CF" w:rsidRPr="00AE3C70" w:rsidRDefault="00CD36CF" w:rsidP="00CC1F3B">
      <w:pPr>
        <w:pStyle w:val="Sponsors"/>
        <w:rPr>
          <w:color w:val="auto"/>
        </w:rPr>
      </w:pPr>
      <w:r w:rsidRPr="00AE3C70">
        <w:rPr>
          <w:color w:val="auto"/>
        </w:rPr>
        <w:t xml:space="preserve">By </w:t>
      </w:r>
      <w:sdt>
        <w:sdtPr>
          <w:rPr>
            <w:color w:val="auto"/>
          </w:rPr>
          <w:tag w:val="Sponsors"/>
          <w:id w:val="1589585889"/>
          <w:placeholder>
            <w:docPart w:val="DC6A1E86583D4ACD957AB95FB0FB661B"/>
          </w:placeholder>
          <w:text w:multiLine="1"/>
        </w:sdtPr>
        <w:sdtEndPr/>
        <w:sdtContent>
          <w:r w:rsidR="0013709B" w:rsidRPr="00AE3C70">
            <w:rPr>
              <w:color w:val="auto"/>
            </w:rPr>
            <w:t>Senator</w:t>
          </w:r>
          <w:r w:rsidR="00EE139C">
            <w:rPr>
              <w:color w:val="auto"/>
            </w:rPr>
            <w:t>s</w:t>
          </w:r>
          <w:r w:rsidR="0013709B" w:rsidRPr="00AE3C70">
            <w:rPr>
              <w:color w:val="auto"/>
            </w:rPr>
            <w:t xml:space="preserve"> Hamilton</w:t>
          </w:r>
          <w:r w:rsidR="008765FF">
            <w:rPr>
              <w:color w:val="auto"/>
            </w:rPr>
            <w:t>,</w:t>
          </w:r>
          <w:r w:rsidR="00EE139C">
            <w:rPr>
              <w:color w:val="auto"/>
            </w:rPr>
            <w:t xml:space="preserve"> Baldwin</w:t>
          </w:r>
          <w:r w:rsidR="008765FF">
            <w:rPr>
              <w:color w:val="auto"/>
            </w:rPr>
            <w:t>, and Nelson</w:t>
          </w:r>
        </w:sdtContent>
      </w:sdt>
    </w:p>
    <w:p w14:paraId="0549D3DD" w14:textId="3B8A6BE1" w:rsidR="00E831B3" w:rsidRPr="00AE3C70" w:rsidRDefault="00CD36CF" w:rsidP="00CC1F3B">
      <w:pPr>
        <w:pStyle w:val="References"/>
        <w:rPr>
          <w:color w:val="auto"/>
        </w:rPr>
      </w:pPr>
      <w:r w:rsidRPr="00AE3C70">
        <w:rPr>
          <w:color w:val="auto"/>
        </w:rPr>
        <w:t>[</w:t>
      </w:r>
      <w:sdt>
        <w:sdtPr>
          <w:tag w:val="References"/>
          <w:id w:val="-1043047873"/>
          <w:placeholder>
            <w:docPart w:val="97D1BD9EF32D4B4E871406E0FF125EB4"/>
          </w:placeholder>
          <w:text w:multiLine="1"/>
        </w:sdtPr>
        <w:sdtEndPr/>
        <w:sdtContent>
          <w:r w:rsidR="005443E8" w:rsidRPr="005443E8">
            <w:t>Introduced February 10, 2021; referred</w:t>
          </w:r>
          <w:r w:rsidR="005443E8" w:rsidRPr="005443E8">
            <w:br/>
            <w:t>to the Committee on</w:t>
          </w:r>
          <w:r w:rsidR="00725A15">
            <w:t xml:space="preserve"> Economic Development; and then to the Committee on Finance</w:t>
          </w:r>
        </w:sdtContent>
      </w:sdt>
      <w:r w:rsidRPr="00AE3C70">
        <w:rPr>
          <w:color w:val="auto"/>
        </w:rPr>
        <w:t>]</w:t>
      </w:r>
    </w:p>
    <w:p w14:paraId="7C5189FE" w14:textId="27369FE7" w:rsidR="00303684" w:rsidRPr="00AE3C70" w:rsidRDefault="0000526A" w:rsidP="00CC1F3B">
      <w:pPr>
        <w:pStyle w:val="TitleSection"/>
        <w:rPr>
          <w:color w:val="auto"/>
        </w:rPr>
      </w:pPr>
      <w:r w:rsidRPr="00AE3C70">
        <w:rPr>
          <w:color w:val="auto"/>
        </w:rPr>
        <w:lastRenderedPageBreak/>
        <w:t>A BILL</w:t>
      </w:r>
      <w:r w:rsidR="006775F8" w:rsidRPr="00AE3C70">
        <w:rPr>
          <w:color w:val="auto"/>
        </w:rPr>
        <w:t xml:space="preserve"> to amend the Code of West Virginia, 1931, as amended, by adding thereto a new section, designated §</w:t>
      </w:r>
      <w:r w:rsidR="00492AD6" w:rsidRPr="00AE3C70">
        <w:rPr>
          <w:color w:val="auto"/>
        </w:rPr>
        <w:t>5</w:t>
      </w:r>
      <w:r w:rsidR="0073219D" w:rsidRPr="00AE3C70">
        <w:rPr>
          <w:color w:val="auto"/>
        </w:rPr>
        <w:t>B-</w:t>
      </w:r>
      <w:r w:rsidR="00492AD6" w:rsidRPr="00AE3C70">
        <w:rPr>
          <w:color w:val="auto"/>
        </w:rPr>
        <w:t>1-</w:t>
      </w:r>
      <w:r w:rsidR="006203EB" w:rsidRPr="00AE3C70">
        <w:rPr>
          <w:color w:val="auto"/>
        </w:rPr>
        <w:t>11</w:t>
      </w:r>
      <w:r w:rsidR="006775F8" w:rsidRPr="00AE3C70">
        <w:rPr>
          <w:color w:val="auto"/>
        </w:rPr>
        <w:t>, relating to</w:t>
      </w:r>
      <w:r w:rsidR="00492AD6" w:rsidRPr="00AE3C70">
        <w:rPr>
          <w:color w:val="auto"/>
        </w:rPr>
        <w:t xml:space="preserve"> creating the New Worker Relocation Incentive Program; providing an incentive for workers to move to West Virginia; establishing conditions for the incentive; defining terms; and requiring rulemaking.</w:t>
      </w:r>
    </w:p>
    <w:p w14:paraId="5F27C4C4" w14:textId="77777777" w:rsidR="00303684" w:rsidRPr="00AE3C70" w:rsidRDefault="00303684" w:rsidP="00CC1F3B">
      <w:pPr>
        <w:pStyle w:val="EnactingClause"/>
        <w:rPr>
          <w:color w:val="auto"/>
        </w:rPr>
        <w:sectPr w:rsidR="00303684" w:rsidRPr="00AE3C70" w:rsidSect="00A14903">
          <w:headerReference w:type="even" r:id="rId11"/>
          <w:headerReference w:type="default" r:id="rId12"/>
          <w:footerReference w:type="even" r:id="rId13"/>
          <w:footerReference w:type="default" r:id="rId14"/>
          <w:headerReference w:type="first" r:id="rId15"/>
          <w:type w:val="continuous"/>
          <w:pgSz w:w="12240" w:h="15840" w:code="1"/>
          <w:pgMar w:top="1440" w:right="1440" w:bottom="1440" w:left="1440" w:header="720" w:footer="720" w:gutter="0"/>
          <w:lnNumType w:countBy="1" w:restart="newSection"/>
          <w:pgNumType w:start="0"/>
          <w:cols w:space="720"/>
          <w:titlePg/>
          <w:docGrid w:linePitch="360"/>
        </w:sectPr>
      </w:pPr>
      <w:r w:rsidRPr="00AE3C70">
        <w:rPr>
          <w:color w:val="auto"/>
        </w:rPr>
        <w:t>Be it enacted by the Legislature of West Virginia:</w:t>
      </w:r>
    </w:p>
    <w:p w14:paraId="0991412B" w14:textId="77777777" w:rsidR="0079696E" w:rsidRPr="00AE3C70" w:rsidRDefault="0079696E" w:rsidP="002228A4">
      <w:pPr>
        <w:pStyle w:val="ArticleHeading"/>
        <w:rPr>
          <w:color w:val="auto"/>
        </w:rPr>
        <w:sectPr w:rsidR="0079696E" w:rsidRPr="00AE3C70" w:rsidSect="00A14903">
          <w:type w:val="continuous"/>
          <w:pgSz w:w="12240" w:h="15840" w:code="1"/>
          <w:pgMar w:top="1440" w:right="1440" w:bottom="1440" w:left="1440" w:header="720" w:footer="720" w:gutter="0"/>
          <w:lnNumType w:countBy="1" w:restart="newSection"/>
          <w:cols w:space="720"/>
          <w:titlePg/>
          <w:docGrid w:linePitch="360"/>
        </w:sectPr>
      </w:pPr>
      <w:r w:rsidRPr="00AE3C70">
        <w:rPr>
          <w:color w:val="auto"/>
        </w:rPr>
        <w:t>ARTICLE 1. DEPARTMENT OF COMMERCE.</w:t>
      </w:r>
    </w:p>
    <w:p w14:paraId="1A155D31" w14:textId="338F9BDC" w:rsidR="0079696E" w:rsidRPr="00AE3C70" w:rsidRDefault="0079696E" w:rsidP="0079696E">
      <w:pPr>
        <w:pStyle w:val="SectionHeading"/>
        <w:rPr>
          <w:color w:val="auto"/>
          <w:u w:val="single"/>
        </w:rPr>
      </w:pPr>
      <w:r w:rsidRPr="00AE3C70">
        <w:rPr>
          <w:color w:val="auto"/>
          <w:u w:val="single"/>
        </w:rPr>
        <w:t>§5</w:t>
      </w:r>
      <w:r w:rsidR="0073219D" w:rsidRPr="00AE3C70">
        <w:rPr>
          <w:color w:val="auto"/>
          <w:u w:val="single"/>
        </w:rPr>
        <w:t>B</w:t>
      </w:r>
      <w:r w:rsidRPr="00AE3C70">
        <w:rPr>
          <w:color w:val="auto"/>
          <w:u w:val="single"/>
        </w:rPr>
        <w:t>-1-</w:t>
      </w:r>
      <w:r w:rsidR="006203EB" w:rsidRPr="00AE3C70">
        <w:rPr>
          <w:color w:val="auto"/>
          <w:u w:val="single"/>
        </w:rPr>
        <w:t>11</w:t>
      </w:r>
      <w:r w:rsidRPr="00AE3C70">
        <w:rPr>
          <w:color w:val="auto"/>
          <w:u w:val="single"/>
        </w:rPr>
        <w:t>. New Worker Relocation Incentive Program.</w:t>
      </w:r>
    </w:p>
    <w:p w14:paraId="4E1F66F4" w14:textId="1254D5A0" w:rsidR="0079696E" w:rsidRPr="00AE3C70" w:rsidRDefault="0079696E" w:rsidP="0079696E">
      <w:pPr>
        <w:pStyle w:val="SectionBody"/>
        <w:rPr>
          <w:color w:val="auto"/>
          <w:u w:val="single"/>
        </w:rPr>
      </w:pPr>
      <w:r w:rsidRPr="00AE3C70">
        <w:rPr>
          <w:color w:val="auto"/>
          <w:u w:val="single"/>
        </w:rPr>
        <w:t xml:space="preserve">(a) The Department of Commerce shall design and implement a New Worker Relocation Incentive Program to award incentive grants to new workers as provided in this section and subject to the policies and procedures the department adopts to implement the program. </w:t>
      </w:r>
    </w:p>
    <w:p w14:paraId="25BD714A" w14:textId="463E7536" w:rsidR="0079696E" w:rsidRPr="00AE3C70" w:rsidRDefault="0079696E" w:rsidP="0079696E">
      <w:pPr>
        <w:pStyle w:val="SectionBody"/>
        <w:rPr>
          <w:color w:val="auto"/>
          <w:u w:val="single"/>
        </w:rPr>
      </w:pPr>
      <w:r w:rsidRPr="00AE3C70">
        <w:rPr>
          <w:color w:val="auto"/>
          <w:u w:val="single"/>
        </w:rPr>
        <w:t>(b) A new worker may be eligible for a $5,000</w:t>
      </w:r>
      <w:r w:rsidR="00492AD6" w:rsidRPr="00AE3C70">
        <w:rPr>
          <w:color w:val="auto"/>
          <w:u w:val="single"/>
        </w:rPr>
        <w:t xml:space="preserve"> </w:t>
      </w:r>
      <w:r w:rsidRPr="00AE3C70">
        <w:rPr>
          <w:color w:val="auto"/>
          <w:u w:val="single"/>
        </w:rPr>
        <w:t>grant under the program for qualifying expenses.</w:t>
      </w:r>
    </w:p>
    <w:p w14:paraId="56B3DD9A" w14:textId="77777777" w:rsidR="0079696E" w:rsidRPr="00AE3C70" w:rsidRDefault="0079696E" w:rsidP="0079696E">
      <w:pPr>
        <w:pStyle w:val="SectionBody"/>
        <w:rPr>
          <w:color w:val="auto"/>
          <w:u w:val="single"/>
        </w:rPr>
      </w:pPr>
      <w:r w:rsidRPr="00AE3C70">
        <w:rPr>
          <w:color w:val="auto"/>
          <w:u w:val="single"/>
        </w:rPr>
        <w:t>(c) The secretary shall propose rules for legislative approval in accordance with §29A-3-1</w:t>
      </w:r>
      <w:r w:rsidRPr="00AE3C70">
        <w:rPr>
          <w:i/>
          <w:iCs/>
          <w:color w:val="auto"/>
          <w:u w:val="single"/>
        </w:rPr>
        <w:t xml:space="preserve"> et seq.</w:t>
      </w:r>
      <w:r w:rsidRPr="00AE3C70">
        <w:rPr>
          <w:color w:val="auto"/>
          <w:u w:val="single"/>
        </w:rPr>
        <w:t xml:space="preserve"> of this code to implement this section, including, but not limited to;</w:t>
      </w:r>
    </w:p>
    <w:p w14:paraId="040F4491" w14:textId="0A055335" w:rsidR="0079696E" w:rsidRPr="00AE3C70" w:rsidRDefault="0079696E" w:rsidP="0079696E">
      <w:pPr>
        <w:pStyle w:val="SectionBody"/>
        <w:rPr>
          <w:color w:val="auto"/>
          <w:u w:val="single"/>
        </w:rPr>
      </w:pPr>
      <w:r w:rsidRPr="00AE3C70">
        <w:rPr>
          <w:color w:val="auto"/>
          <w:u w:val="single"/>
        </w:rPr>
        <w:t xml:space="preserve"> (1) Adopt</w:t>
      </w:r>
      <w:r w:rsidR="00492AD6" w:rsidRPr="00AE3C70">
        <w:rPr>
          <w:color w:val="auto"/>
          <w:u w:val="single"/>
        </w:rPr>
        <w:t>ing</w:t>
      </w:r>
      <w:r w:rsidRPr="00AE3C70">
        <w:rPr>
          <w:color w:val="auto"/>
          <w:u w:val="single"/>
        </w:rPr>
        <w:t xml:space="preserve"> procedures for implementing the program, which shall include a simple certification process to certify new workers and qualifying expenses;</w:t>
      </w:r>
    </w:p>
    <w:p w14:paraId="58C625BF" w14:textId="5C5F3CA7" w:rsidR="0079696E" w:rsidRPr="00AE3C70" w:rsidRDefault="0079696E" w:rsidP="0079696E">
      <w:pPr>
        <w:pStyle w:val="SectionBody"/>
        <w:rPr>
          <w:color w:val="auto"/>
          <w:u w:val="single"/>
        </w:rPr>
      </w:pPr>
      <w:r w:rsidRPr="00AE3C70">
        <w:rPr>
          <w:color w:val="auto"/>
          <w:u w:val="single"/>
        </w:rPr>
        <w:t>(2) Promot</w:t>
      </w:r>
      <w:r w:rsidR="00492AD6" w:rsidRPr="00AE3C70">
        <w:rPr>
          <w:color w:val="auto"/>
          <w:u w:val="single"/>
        </w:rPr>
        <w:t>ing</w:t>
      </w:r>
      <w:r w:rsidRPr="00AE3C70">
        <w:rPr>
          <w:color w:val="auto"/>
          <w:u w:val="single"/>
        </w:rPr>
        <w:t xml:space="preserve"> awareness of the program, including through coordination with relevant trade groups and by integration into the department’s economic development marketing campaigns;</w:t>
      </w:r>
    </w:p>
    <w:p w14:paraId="44A2FDA2" w14:textId="48DF74FA" w:rsidR="0079696E" w:rsidRPr="00AE3C70" w:rsidRDefault="0079696E" w:rsidP="0079696E">
      <w:pPr>
        <w:pStyle w:val="SectionBody"/>
        <w:rPr>
          <w:color w:val="auto"/>
          <w:u w:val="single"/>
        </w:rPr>
      </w:pPr>
      <w:r w:rsidRPr="00AE3C70">
        <w:rPr>
          <w:color w:val="auto"/>
          <w:u w:val="single"/>
        </w:rPr>
        <w:t>(3)  Award</w:t>
      </w:r>
      <w:r w:rsidR="00492AD6" w:rsidRPr="00AE3C70">
        <w:rPr>
          <w:color w:val="auto"/>
          <w:u w:val="single"/>
        </w:rPr>
        <w:t>ing</w:t>
      </w:r>
      <w:r w:rsidRPr="00AE3C70">
        <w:rPr>
          <w:color w:val="auto"/>
          <w:u w:val="single"/>
        </w:rPr>
        <w:t xml:space="preserve"> grants on a first-come, first-served basis beginning January 1, 202</w:t>
      </w:r>
      <w:r w:rsidR="006203EB" w:rsidRPr="00AE3C70">
        <w:rPr>
          <w:color w:val="auto"/>
          <w:u w:val="single"/>
        </w:rPr>
        <w:t>2</w:t>
      </w:r>
      <w:r w:rsidRPr="00AE3C70">
        <w:rPr>
          <w:color w:val="auto"/>
          <w:u w:val="single"/>
        </w:rPr>
        <w:t>, subject to available funding; and</w:t>
      </w:r>
    </w:p>
    <w:p w14:paraId="245B6356" w14:textId="41FBC68A" w:rsidR="0079696E" w:rsidRPr="00AE3C70" w:rsidRDefault="0079696E" w:rsidP="0079696E">
      <w:pPr>
        <w:pStyle w:val="SectionBody"/>
        <w:rPr>
          <w:color w:val="auto"/>
          <w:u w:val="single"/>
        </w:rPr>
      </w:pPr>
      <w:r w:rsidRPr="00AE3C70">
        <w:rPr>
          <w:color w:val="auto"/>
          <w:u w:val="single"/>
        </w:rPr>
        <w:t>(4) Adopt</w:t>
      </w:r>
      <w:r w:rsidR="00492AD6" w:rsidRPr="00AE3C70">
        <w:rPr>
          <w:color w:val="auto"/>
          <w:u w:val="single"/>
        </w:rPr>
        <w:t>ing</w:t>
      </w:r>
      <w:r w:rsidRPr="00AE3C70">
        <w:rPr>
          <w:color w:val="auto"/>
          <w:u w:val="single"/>
        </w:rPr>
        <w:t xml:space="preserve"> measurable goals, performance measures, and an audit strategy to assess the utilization and performance of the program.</w:t>
      </w:r>
    </w:p>
    <w:p w14:paraId="0D0987E6" w14:textId="323645C7" w:rsidR="0079696E" w:rsidRPr="00AE3C70" w:rsidRDefault="0079696E" w:rsidP="0079696E">
      <w:pPr>
        <w:pStyle w:val="SectionBody"/>
        <w:rPr>
          <w:color w:val="auto"/>
          <w:u w:val="single"/>
        </w:rPr>
      </w:pPr>
      <w:r w:rsidRPr="00AE3C70">
        <w:rPr>
          <w:color w:val="auto"/>
          <w:u w:val="single"/>
        </w:rPr>
        <w:t>(</w:t>
      </w:r>
      <w:r w:rsidR="00492AD6" w:rsidRPr="00AE3C70">
        <w:rPr>
          <w:color w:val="auto"/>
          <w:u w:val="single"/>
        </w:rPr>
        <w:t>d</w:t>
      </w:r>
      <w:r w:rsidRPr="00AE3C70">
        <w:rPr>
          <w:color w:val="auto"/>
          <w:u w:val="single"/>
        </w:rPr>
        <w:t xml:space="preserve">) As used in this section: </w:t>
      </w:r>
    </w:p>
    <w:p w14:paraId="3E8CC2B2" w14:textId="56A6CC91" w:rsidR="0079696E" w:rsidRPr="00AE3C70" w:rsidRDefault="0079696E" w:rsidP="0079696E">
      <w:pPr>
        <w:pStyle w:val="SectionBody"/>
        <w:rPr>
          <w:color w:val="auto"/>
          <w:u w:val="single"/>
        </w:rPr>
      </w:pPr>
      <w:r w:rsidRPr="00AE3C70">
        <w:rPr>
          <w:color w:val="auto"/>
          <w:u w:val="single"/>
        </w:rPr>
        <w:t>“New worker” means an individual who on or after January 1, 202</w:t>
      </w:r>
      <w:r w:rsidR="006203EB" w:rsidRPr="00AE3C70">
        <w:rPr>
          <w:color w:val="auto"/>
          <w:u w:val="single"/>
        </w:rPr>
        <w:t>2</w:t>
      </w:r>
      <w:r w:rsidRPr="00AE3C70">
        <w:rPr>
          <w:color w:val="auto"/>
          <w:u w:val="single"/>
        </w:rPr>
        <w:t>:</w:t>
      </w:r>
    </w:p>
    <w:p w14:paraId="3915F557" w14:textId="0FBF3046" w:rsidR="0079696E" w:rsidRPr="00AE3C70" w:rsidRDefault="0079696E" w:rsidP="0079696E">
      <w:pPr>
        <w:pStyle w:val="SectionBody"/>
        <w:rPr>
          <w:color w:val="auto"/>
          <w:u w:val="single"/>
        </w:rPr>
      </w:pPr>
      <w:r w:rsidRPr="00AE3C70">
        <w:rPr>
          <w:color w:val="auto"/>
          <w:u w:val="single"/>
        </w:rPr>
        <w:t xml:space="preserve">(A)  </w:t>
      </w:r>
      <w:r w:rsidR="00492AD6" w:rsidRPr="00AE3C70">
        <w:rPr>
          <w:color w:val="auto"/>
          <w:u w:val="single"/>
        </w:rPr>
        <w:t>B</w:t>
      </w:r>
      <w:r w:rsidRPr="00AE3C70">
        <w:rPr>
          <w:color w:val="auto"/>
          <w:u w:val="single"/>
        </w:rPr>
        <w:t xml:space="preserve">ecomes a full-time resident of this </w:t>
      </w:r>
      <w:r w:rsidR="00492AD6" w:rsidRPr="00AE3C70">
        <w:rPr>
          <w:color w:val="auto"/>
          <w:u w:val="single"/>
        </w:rPr>
        <w:t>s</w:t>
      </w:r>
      <w:r w:rsidRPr="00AE3C70">
        <w:rPr>
          <w:color w:val="auto"/>
          <w:u w:val="single"/>
        </w:rPr>
        <w:t>tate;</w:t>
      </w:r>
    </w:p>
    <w:p w14:paraId="1A71D9CF" w14:textId="110A4323" w:rsidR="0079696E" w:rsidRPr="00AE3C70" w:rsidRDefault="0079696E" w:rsidP="0079696E">
      <w:pPr>
        <w:pStyle w:val="SectionBody"/>
        <w:rPr>
          <w:color w:val="auto"/>
          <w:u w:val="single"/>
        </w:rPr>
      </w:pPr>
      <w:r w:rsidRPr="00AE3C70">
        <w:rPr>
          <w:color w:val="auto"/>
          <w:u w:val="single"/>
        </w:rPr>
        <w:lastRenderedPageBreak/>
        <w:t xml:space="preserve">(B)  </w:t>
      </w:r>
      <w:r w:rsidR="00492AD6" w:rsidRPr="00AE3C70">
        <w:rPr>
          <w:color w:val="auto"/>
          <w:u w:val="single"/>
        </w:rPr>
        <w:t>B</w:t>
      </w:r>
      <w:r w:rsidRPr="00AE3C70">
        <w:rPr>
          <w:color w:val="auto"/>
          <w:u w:val="single"/>
        </w:rPr>
        <w:t xml:space="preserve">ecomes a full-time employee of a business domiciled or authorized to do business in this </w:t>
      </w:r>
      <w:r w:rsidR="00492AD6" w:rsidRPr="00AE3C70">
        <w:rPr>
          <w:color w:val="auto"/>
          <w:u w:val="single"/>
        </w:rPr>
        <w:t>s</w:t>
      </w:r>
      <w:r w:rsidRPr="00AE3C70">
        <w:rPr>
          <w:color w:val="auto"/>
          <w:u w:val="single"/>
        </w:rPr>
        <w:t>tate;</w:t>
      </w:r>
    </w:p>
    <w:p w14:paraId="1CBD8D74" w14:textId="314CA2C2" w:rsidR="0079696E" w:rsidRPr="00AE3C70" w:rsidRDefault="0079696E" w:rsidP="0079696E">
      <w:pPr>
        <w:pStyle w:val="SectionBody"/>
        <w:rPr>
          <w:color w:val="auto"/>
          <w:u w:val="single"/>
        </w:rPr>
      </w:pPr>
      <w:r w:rsidRPr="00AE3C70">
        <w:rPr>
          <w:color w:val="auto"/>
          <w:u w:val="single"/>
        </w:rPr>
        <w:t xml:space="preserve">(C)(i) </w:t>
      </w:r>
      <w:r w:rsidR="00492AD6" w:rsidRPr="00AE3C70">
        <w:rPr>
          <w:color w:val="auto"/>
          <w:u w:val="single"/>
        </w:rPr>
        <w:t>I</w:t>
      </w:r>
      <w:r w:rsidRPr="00AE3C70">
        <w:rPr>
          <w:color w:val="auto"/>
          <w:u w:val="single"/>
        </w:rPr>
        <w:t>s employed in an occupation identified by the Department of Labor in its 2016–2026 Long Term Occupational Projections as one of the top occupations at each level of educational attainment typical for entry; or</w:t>
      </w:r>
    </w:p>
    <w:p w14:paraId="2EE857E9" w14:textId="5B4A0FD7" w:rsidR="0079696E" w:rsidRPr="00AE3C70" w:rsidRDefault="0079696E" w:rsidP="0079696E">
      <w:pPr>
        <w:pStyle w:val="SectionBody"/>
        <w:rPr>
          <w:color w:val="auto"/>
          <w:u w:val="single"/>
        </w:rPr>
      </w:pPr>
      <w:r w:rsidRPr="00AE3C70">
        <w:rPr>
          <w:color w:val="auto"/>
          <w:u w:val="single"/>
        </w:rPr>
        <w:t xml:space="preserve">(ii) </w:t>
      </w:r>
      <w:r w:rsidR="00492AD6" w:rsidRPr="00AE3C70">
        <w:rPr>
          <w:color w:val="auto"/>
          <w:u w:val="single"/>
        </w:rPr>
        <w:t>W</w:t>
      </w:r>
      <w:r w:rsidRPr="00AE3C70">
        <w:rPr>
          <w:color w:val="auto"/>
          <w:u w:val="single"/>
        </w:rPr>
        <w:t xml:space="preserve">ho the </w:t>
      </w:r>
      <w:r w:rsidR="00492AD6" w:rsidRPr="00AE3C70">
        <w:rPr>
          <w:color w:val="auto"/>
          <w:u w:val="single"/>
        </w:rPr>
        <w:t xml:space="preserve">department </w:t>
      </w:r>
      <w:r w:rsidRPr="00AE3C70">
        <w:rPr>
          <w:color w:val="auto"/>
          <w:u w:val="single"/>
        </w:rPr>
        <w:t xml:space="preserve">determines should otherwise receive an incentive grant under the </w:t>
      </w:r>
      <w:r w:rsidR="00492AD6" w:rsidRPr="00AE3C70">
        <w:rPr>
          <w:color w:val="auto"/>
          <w:u w:val="single"/>
        </w:rPr>
        <w:t>p</w:t>
      </w:r>
      <w:r w:rsidRPr="00AE3C70">
        <w:rPr>
          <w:color w:val="auto"/>
          <w:u w:val="single"/>
        </w:rPr>
        <w:t>rogram because the worker possesses exceptional education, skills, or training or due to other extraordinary circumstances; and</w:t>
      </w:r>
    </w:p>
    <w:p w14:paraId="22814509" w14:textId="75C6C02B" w:rsidR="0079696E" w:rsidRPr="00AE3C70" w:rsidRDefault="0079696E" w:rsidP="0079696E">
      <w:pPr>
        <w:pStyle w:val="SectionBody"/>
        <w:rPr>
          <w:color w:val="auto"/>
          <w:u w:val="single"/>
        </w:rPr>
      </w:pPr>
      <w:r w:rsidRPr="00AE3C70">
        <w:rPr>
          <w:color w:val="auto"/>
          <w:u w:val="single"/>
        </w:rPr>
        <w:t xml:space="preserve">(D)  </w:t>
      </w:r>
      <w:r w:rsidR="00492AD6" w:rsidRPr="00AE3C70">
        <w:rPr>
          <w:color w:val="auto"/>
          <w:u w:val="single"/>
        </w:rPr>
        <w:t>W</w:t>
      </w:r>
      <w:r w:rsidRPr="00AE3C70">
        <w:rPr>
          <w:color w:val="auto"/>
          <w:u w:val="single"/>
        </w:rPr>
        <w:t>hose gross wage for the position equals or exceeds:</w:t>
      </w:r>
    </w:p>
    <w:p w14:paraId="5442375F" w14:textId="679F483F" w:rsidR="0079696E" w:rsidRPr="00AE3C70" w:rsidRDefault="0079696E" w:rsidP="0079696E">
      <w:pPr>
        <w:pStyle w:val="SectionBody"/>
        <w:rPr>
          <w:color w:val="auto"/>
          <w:u w:val="single"/>
        </w:rPr>
      </w:pPr>
      <w:r w:rsidRPr="00AE3C70">
        <w:rPr>
          <w:color w:val="auto"/>
          <w:u w:val="single"/>
        </w:rPr>
        <w:t xml:space="preserve">(i) </w:t>
      </w:r>
      <w:r w:rsidR="00492AD6" w:rsidRPr="00AE3C70">
        <w:rPr>
          <w:color w:val="auto"/>
          <w:u w:val="single"/>
        </w:rPr>
        <w:t>One hundred sixty</w:t>
      </w:r>
      <w:r w:rsidRPr="00AE3C70">
        <w:rPr>
          <w:color w:val="auto"/>
          <w:u w:val="single"/>
        </w:rPr>
        <w:t xml:space="preserve"> percent of the </w:t>
      </w:r>
      <w:r w:rsidR="00492AD6" w:rsidRPr="00AE3C70">
        <w:rPr>
          <w:color w:val="auto"/>
          <w:u w:val="single"/>
        </w:rPr>
        <w:t>s</w:t>
      </w:r>
      <w:r w:rsidRPr="00AE3C70">
        <w:rPr>
          <w:color w:val="auto"/>
          <w:u w:val="single"/>
        </w:rPr>
        <w:t>tate minimum wage; or</w:t>
      </w:r>
    </w:p>
    <w:p w14:paraId="0B530DD5" w14:textId="70C63884" w:rsidR="0079696E" w:rsidRPr="00AE3C70" w:rsidRDefault="0079696E" w:rsidP="0079696E">
      <w:pPr>
        <w:pStyle w:val="SectionBody"/>
        <w:rPr>
          <w:color w:val="auto"/>
          <w:u w:val="single"/>
        </w:rPr>
      </w:pPr>
      <w:r w:rsidRPr="00AE3C70">
        <w:rPr>
          <w:color w:val="auto"/>
          <w:u w:val="single"/>
        </w:rPr>
        <w:t>(ii)</w:t>
      </w:r>
      <w:r w:rsidR="00492AD6" w:rsidRPr="00AE3C70">
        <w:rPr>
          <w:color w:val="auto"/>
          <w:u w:val="single"/>
        </w:rPr>
        <w:t xml:space="preserve"> I</w:t>
      </w:r>
      <w:r w:rsidRPr="00AE3C70">
        <w:rPr>
          <w:color w:val="auto"/>
          <w:u w:val="single"/>
        </w:rPr>
        <w:t>f</w:t>
      </w:r>
      <w:r w:rsidR="00AD5899" w:rsidRPr="00AE3C70">
        <w:rPr>
          <w:color w:val="auto"/>
          <w:u w:val="single"/>
        </w:rPr>
        <w:t xml:space="preserve"> </w:t>
      </w:r>
      <w:r w:rsidRPr="00AE3C70">
        <w:rPr>
          <w:color w:val="auto"/>
          <w:u w:val="single"/>
        </w:rPr>
        <w:t xml:space="preserve">the employer is located in a labor market area in which the average annual unemployment rate is higher than the average annual unemployment rate for the </w:t>
      </w:r>
      <w:r w:rsidR="00492AD6" w:rsidRPr="00AE3C70">
        <w:rPr>
          <w:color w:val="auto"/>
          <w:u w:val="single"/>
        </w:rPr>
        <w:t>s</w:t>
      </w:r>
      <w:r w:rsidRPr="00AE3C70">
        <w:rPr>
          <w:color w:val="auto"/>
          <w:u w:val="single"/>
        </w:rPr>
        <w:t xml:space="preserve">tate, 140 percent of the </w:t>
      </w:r>
      <w:r w:rsidR="00492AD6" w:rsidRPr="00AE3C70">
        <w:rPr>
          <w:color w:val="auto"/>
          <w:u w:val="single"/>
        </w:rPr>
        <w:t>s</w:t>
      </w:r>
      <w:r w:rsidRPr="00AE3C70">
        <w:rPr>
          <w:color w:val="auto"/>
          <w:u w:val="single"/>
        </w:rPr>
        <w:t>tate minimum wage.</w:t>
      </w:r>
    </w:p>
    <w:p w14:paraId="0C466173" w14:textId="3FEF3900" w:rsidR="0079696E" w:rsidRPr="00AE3C70" w:rsidRDefault="0079696E" w:rsidP="0079696E">
      <w:pPr>
        <w:pStyle w:val="SectionBody"/>
        <w:rPr>
          <w:color w:val="auto"/>
          <w:u w:val="single"/>
        </w:rPr>
      </w:pPr>
      <w:r w:rsidRPr="00AE3C70">
        <w:rPr>
          <w:color w:val="auto"/>
          <w:u w:val="single"/>
        </w:rPr>
        <w:t>“Qualifying expenses” means the actual costs that a new worker incurs for one or more of the following:</w:t>
      </w:r>
    </w:p>
    <w:p w14:paraId="03152DAE" w14:textId="61B86205" w:rsidR="0079696E" w:rsidRPr="00AE3C70" w:rsidRDefault="0079696E" w:rsidP="0079696E">
      <w:pPr>
        <w:pStyle w:val="SectionBody"/>
        <w:rPr>
          <w:color w:val="auto"/>
          <w:u w:val="single"/>
        </w:rPr>
      </w:pPr>
      <w:r w:rsidRPr="00AE3C70">
        <w:rPr>
          <w:color w:val="auto"/>
          <w:u w:val="single"/>
        </w:rPr>
        <w:t xml:space="preserve">(A) </w:t>
      </w:r>
      <w:r w:rsidR="00492AD6" w:rsidRPr="00AE3C70">
        <w:rPr>
          <w:color w:val="auto"/>
          <w:u w:val="single"/>
        </w:rPr>
        <w:t>R</w:t>
      </w:r>
      <w:r w:rsidRPr="00AE3C70">
        <w:rPr>
          <w:color w:val="auto"/>
          <w:u w:val="single"/>
        </w:rPr>
        <w:t>elocation expenses, which may include closing costs for a primary residence</w:t>
      </w:r>
      <w:r w:rsidR="00492AD6" w:rsidRPr="00AE3C70">
        <w:rPr>
          <w:color w:val="auto"/>
          <w:u w:val="single"/>
        </w:rPr>
        <w:t xml:space="preserve">, </w:t>
      </w:r>
      <w:r w:rsidRPr="00AE3C70">
        <w:rPr>
          <w:color w:val="auto"/>
          <w:u w:val="single"/>
        </w:rPr>
        <w:t>rental security deposit</w:t>
      </w:r>
      <w:r w:rsidR="00492AD6" w:rsidRPr="00AE3C70">
        <w:rPr>
          <w:color w:val="auto"/>
          <w:u w:val="single"/>
        </w:rPr>
        <w:t>,</w:t>
      </w:r>
      <w:r w:rsidRPr="00AE3C70">
        <w:rPr>
          <w:color w:val="auto"/>
          <w:u w:val="single"/>
        </w:rPr>
        <w:t xml:space="preserve"> first month’s rent payment</w:t>
      </w:r>
      <w:r w:rsidR="00492AD6" w:rsidRPr="00AE3C70">
        <w:rPr>
          <w:color w:val="auto"/>
          <w:u w:val="single"/>
        </w:rPr>
        <w:t>,</w:t>
      </w:r>
      <w:r w:rsidRPr="00AE3C70">
        <w:rPr>
          <w:color w:val="auto"/>
          <w:u w:val="single"/>
        </w:rPr>
        <w:t xml:space="preserve"> and other expenses established in </w:t>
      </w:r>
      <w:r w:rsidR="00492AD6" w:rsidRPr="00AE3C70">
        <w:rPr>
          <w:color w:val="auto"/>
          <w:u w:val="single"/>
        </w:rPr>
        <w:t xml:space="preserve">the department’s </w:t>
      </w:r>
      <w:r w:rsidRPr="00AE3C70">
        <w:rPr>
          <w:color w:val="auto"/>
          <w:u w:val="single"/>
        </w:rPr>
        <w:t>guidelines; and</w:t>
      </w:r>
    </w:p>
    <w:p w14:paraId="5E8628D4" w14:textId="5D80EE6C" w:rsidR="0079696E" w:rsidRPr="00AE3C70" w:rsidRDefault="0079696E" w:rsidP="0079696E">
      <w:pPr>
        <w:pStyle w:val="SectionBody"/>
        <w:rPr>
          <w:color w:val="auto"/>
        </w:rPr>
      </w:pPr>
      <w:r w:rsidRPr="00AE3C70">
        <w:rPr>
          <w:color w:val="auto"/>
          <w:u w:val="single"/>
        </w:rPr>
        <w:t xml:space="preserve">(B) </w:t>
      </w:r>
      <w:r w:rsidR="00492AD6" w:rsidRPr="00AE3C70">
        <w:rPr>
          <w:color w:val="auto"/>
          <w:u w:val="single"/>
        </w:rPr>
        <w:t>E</w:t>
      </w:r>
      <w:r w:rsidRPr="00AE3C70">
        <w:rPr>
          <w:color w:val="auto"/>
          <w:u w:val="single"/>
        </w:rPr>
        <w:t xml:space="preserve">xpenses necessary for a new worker to perform his or her employment duties, including connectivity costs, specialized tools and equipment, and other expenses established in </w:t>
      </w:r>
      <w:r w:rsidR="00492AD6" w:rsidRPr="00AE3C70">
        <w:rPr>
          <w:color w:val="auto"/>
          <w:u w:val="single"/>
        </w:rPr>
        <w:t>the department’s</w:t>
      </w:r>
      <w:r w:rsidRPr="00AE3C70">
        <w:rPr>
          <w:color w:val="auto"/>
          <w:u w:val="single"/>
        </w:rPr>
        <w:t xml:space="preserve"> guidelines.</w:t>
      </w:r>
    </w:p>
    <w:p w14:paraId="0D65FE0C" w14:textId="77777777" w:rsidR="00C33014" w:rsidRPr="00AE3C70" w:rsidRDefault="00C33014" w:rsidP="00CC1F3B">
      <w:pPr>
        <w:pStyle w:val="Note"/>
        <w:rPr>
          <w:color w:val="auto"/>
        </w:rPr>
      </w:pPr>
    </w:p>
    <w:p w14:paraId="1CCFD9C5" w14:textId="39FC29E5" w:rsidR="006865E9" w:rsidRPr="00AE3C70" w:rsidRDefault="00CF1DCA" w:rsidP="00CC1F3B">
      <w:pPr>
        <w:pStyle w:val="Note"/>
        <w:rPr>
          <w:color w:val="auto"/>
        </w:rPr>
      </w:pPr>
      <w:r w:rsidRPr="00AE3C70">
        <w:rPr>
          <w:color w:val="auto"/>
        </w:rPr>
        <w:t>NOTE: The</w:t>
      </w:r>
      <w:r w:rsidR="006865E9" w:rsidRPr="00AE3C70">
        <w:rPr>
          <w:color w:val="auto"/>
        </w:rPr>
        <w:t xml:space="preserve"> purpose of this bill is to </w:t>
      </w:r>
      <w:r w:rsidR="002F4E0B" w:rsidRPr="00AE3C70">
        <w:rPr>
          <w:color w:val="auto"/>
        </w:rPr>
        <w:t>create the New Worker Relocation Incentive Program. The bill provides an incentive, up to $5,000, for workers to move to West Virginia. The bill establishes conditions for the incentive, defines terms, and requires rulemaking.</w:t>
      </w:r>
    </w:p>
    <w:p w14:paraId="6CE21203" w14:textId="77777777" w:rsidR="006865E9" w:rsidRPr="00AE3C70" w:rsidRDefault="00AE48A0" w:rsidP="00CC1F3B">
      <w:pPr>
        <w:pStyle w:val="Note"/>
        <w:rPr>
          <w:color w:val="auto"/>
        </w:rPr>
      </w:pPr>
      <w:r w:rsidRPr="00AE3C70">
        <w:rPr>
          <w:color w:val="auto"/>
        </w:rPr>
        <w:t>Strike-throughs indicate language that would be stricken from a heading or the present law and underscoring indicates new language that would be added.</w:t>
      </w:r>
    </w:p>
    <w:sectPr w:rsidR="006865E9" w:rsidRPr="00AE3C70" w:rsidSect="00A14903">
      <w:footerReference w:type="default" r:id="rId1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F2F6E1" w14:textId="77777777" w:rsidR="001F4AA4" w:rsidRPr="00B844FE" w:rsidRDefault="001F4AA4" w:rsidP="00B844FE">
      <w:r>
        <w:separator/>
      </w:r>
    </w:p>
  </w:endnote>
  <w:endnote w:type="continuationSeparator" w:id="0">
    <w:p w14:paraId="613234C8" w14:textId="77777777" w:rsidR="001F4AA4" w:rsidRPr="00B844FE" w:rsidRDefault="001F4AA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729AAE9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328E82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1D95A99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8132113"/>
      <w:docPartObj>
        <w:docPartGallery w:val="Page Numbers (Bottom of Page)"/>
        <w:docPartUnique/>
      </w:docPartObj>
    </w:sdtPr>
    <w:sdtEndPr>
      <w:rPr>
        <w:noProof/>
      </w:rPr>
    </w:sdtEndPr>
    <w:sdtContent>
      <w:p w14:paraId="567BA95B" w14:textId="2D019B7E" w:rsidR="00C37894" w:rsidRDefault="00C378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FABD93" w14:textId="77777777" w:rsidR="0079696E" w:rsidRDefault="007969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789ECB" w14:textId="77777777" w:rsidR="001F4AA4" w:rsidRPr="00B844FE" w:rsidRDefault="001F4AA4" w:rsidP="00B844FE">
      <w:r>
        <w:separator/>
      </w:r>
    </w:p>
  </w:footnote>
  <w:footnote w:type="continuationSeparator" w:id="0">
    <w:p w14:paraId="14FB3321" w14:textId="77777777" w:rsidR="001F4AA4" w:rsidRPr="00B844FE" w:rsidRDefault="001F4AA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5D17A" w14:textId="48E95E08" w:rsidR="002A0269" w:rsidRPr="00B844FE" w:rsidRDefault="008765FF">
    <w:pPr>
      <w:pStyle w:val="Header"/>
    </w:pPr>
    <w:sdt>
      <w:sdtPr>
        <w:id w:val="-684364211"/>
        <w:placeholder>
          <w:docPart w:val="34B749578BFC4448940F0E3061FC37EF"/>
        </w:placeholder>
        <w:temporary/>
        <w:showingPlcHdr/>
        <w15:appearance w15:val="hidden"/>
      </w:sdtPr>
      <w:sdtEndPr/>
      <w:sdtContent>
        <w:r w:rsidR="005443E8" w:rsidRPr="00B844FE">
          <w:t>[Type here]</w:t>
        </w:r>
      </w:sdtContent>
    </w:sdt>
    <w:r w:rsidR="002A0269" w:rsidRPr="00B844FE">
      <w:ptab w:relativeTo="margin" w:alignment="left" w:leader="none"/>
    </w:r>
    <w:sdt>
      <w:sdtPr>
        <w:id w:val="-556240388"/>
        <w:placeholder>
          <w:docPart w:val="34B749578BFC4448940F0E3061FC37EF"/>
        </w:placeholder>
        <w:temporary/>
        <w:showingPlcHdr/>
        <w15:appearance w15:val="hidden"/>
      </w:sdtPr>
      <w:sdtEndPr/>
      <w:sdtContent>
        <w:r w:rsidR="005443E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A75E04" w14:textId="09E589F6" w:rsidR="00C33014" w:rsidRPr="00C33014" w:rsidRDefault="00AE48A0" w:rsidP="00261488">
    <w:pPr>
      <w:pStyle w:val="HeaderStyle"/>
      <w:tabs>
        <w:tab w:val="clear" w:pos="4680"/>
      </w:tabs>
    </w:pPr>
    <w:r>
      <w:t>I</w:t>
    </w:r>
    <w:r w:rsidR="001A66B7">
      <w:t>ntr</w:t>
    </w:r>
    <w:r w:rsidR="00A14903">
      <w:t xml:space="preserve"> SB</w:t>
    </w:r>
    <w:r w:rsidR="005443E8">
      <w:t xml:space="preserve"> 47</w:t>
    </w:r>
    <w:r w:rsidR="00261488">
      <w:tab/>
    </w:r>
    <w:sdt>
      <w:sdtPr>
        <w:alias w:val="CBD Number"/>
        <w:tag w:val="CBD Number"/>
        <w:id w:val="1176923086"/>
        <w:lock w:val="sdtLocked"/>
        <w:text/>
      </w:sdtPr>
      <w:sdtEndPr/>
      <w:sdtContent>
        <w:r w:rsidR="006203EB">
          <w:t>2021R1200</w:t>
        </w:r>
      </w:sdtContent>
    </w:sdt>
  </w:p>
  <w:p w14:paraId="76CEB576"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5CF10" w14:textId="0D042F3E" w:rsidR="006203EB" w:rsidRDefault="006203EB">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A4"/>
    <w:rsid w:val="0000526A"/>
    <w:rsid w:val="000249F4"/>
    <w:rsid w:val="000573A9"/>
    <w:rsid w:val="00085D22"/>
    <w:rsid w:val="000C5C77"/>
    <w:rsid w:val="000E3912"/>
    <w:rsid w:val="0010070F"/>
    <w:rsid w:val="0013709B"/>
    <w:rsid w:val="0015112E"/>
    <w:rsid w:val="001552E7"/>
    <w:rsid w:val="001566B4"/>
    <w:rsid w:val="00173820"/>
    <w:rsid w:val="001A66B7"/>
    <w:rsid w:val="001C279E"/>
    <w:rsid w:val="001D459E"/>
    <w:rsid w:val="001F4AA4"/>
    <w:rsid w:val="00261488"/>
    <w:rsid w:val="0027011C"/>
    <w:rsid w:val="00274200"/>
    <w:rsid w:val="00275740"/>
    <w:rsid w:val="002A0269"/>
    <w:rsid w:val="002B3B69"/>
    <w:rsid w:val="002F4E0B"/>
    <w:rsid w:val="00303684"/>
    <w:rsid w:val="003143F5"/>
    <w:rsid w:val="00314854"/>
    <w:rsid w:val="0031681E"/>
    <w:rsid w:val="00394191"/>
    <w:rsid w:val="003A5A15"/>
    <w:rsid w:val="003C51CD"/>
    <w:rsid w:val="003C5554"/>
    <w:rsid w:val="003E45DB"/>
    <w:rsid w:val="004368E0"/>
    <w:rsid w:val="00492AD6"/>
    <w:rsid w:val="004C13DD"/>
    <w:rsid w:val="004E3441"/>
    <w:rsid w:val="004E72A3"/>
    <w:rsid w:val="00500579"/>
    <w:rsid w:val="005443E8"/>
    <w:rsid w:val="0055052A"/>
    <w:rsid w:val="005A3DAE"/>
    <w:rsid w:val="005A5366"/>
    <w:rsid w:val="006203EB"/>
    <w:rsid w:val="006369EB"/>
    <w:rsid w:val="00637E73"/>
    <w:rsid w:val="006775F8"/>
    <w:rsid w:val="006865E9"/>
    <w:rsid w:val="00691F3E"/>
    <w:rsid w:val="00694BFB"/>
    <w:rsid w:val="006A106B"/>
    <w:rsid w:val="006C523D"/>
    <w:rsid w:val="006D4036"/>
    <w:rsid w:val="00725A15"/>
    <w:rsid w:val="0073219D"/>
    <w:rsid w:val="0079696E"/>
    <w:rsid w:val="007A5259"/>
    <w:rsid w:val="007A7081"/>
    <w:rsid w:val="007F1CF5"/>
    <w:rsid w:val="00834EDE"/>
    <w:rsid w:val="008736AA"/>
    <w:rsid w:val="008765FF"/>
    <w:rsid w:val="008D275D"/>
    <w:rsid w:val="008F6DAC"/>
    <w:rsid w:val="00980327"/>
    <w:rsid w:val="00986478"/>
    <w:rsid w:val="009B5557"/>
    <w:rsid w:val="009F07F9"/>
    <w:rsid w:val="009F1067"/>
    <w:rsid w:val="00A14903"/>
    <w:rsid w:val="00A31E01"/>
    <w:rsid w:val="00A32A22"/>
    <w:rsid w:val="00A527AD"/>
    <w:rsid w:val="00A718CF"/>
    <w:rsid w:val="00AD5899"/>
    <w:rsid w:val="00AE3C70"/>
    <w:rsid w:val="00AE48A0"/>
    <w:rsid w:val="00AE61BE"/>
    <w:rsid w:val="00B16F25"/>
    <w:rsid w:val="00B24422"/>
    <w:rsid w:val="00B33B49"/>
    <w:rsid w:val="00B66B81"/>
    <w:rsid w:val="00B80C20"/>
    <w:rsid w:val="00B844FE"/>
    <w:rsid w:val="00B86B4F"/>
    <w:rsid w:val="00BA1F84"/>
    <w:rsid w:val="00BC562B"/>
    <w:rsid w:val="00C33014"/>
    <w:rsid w:val="00C33434"/>
    <w:rsid w:val="00C34869"/>
    <w:rsid w:val="00C37894"/>
    <w:rsid w:val="00C42EB6"/>
    <w:rsid w:val="00C85096"/>
    <w:rsid w:val="00CB1ADC"/>
    <w:rsid w:val="00CB20EF"/>
    <w:rsid w:val="00CC1F3B"/>
    <w:rsid w:val="00CD12CB"/>
    <w:rsid w:val="00CD36CF"/>
    <w:rsid w:val="00CF1DCA"/>
    <w:rsid w:val="00CF3693"/>
    <w:rsid w:val="00D579FC"/>
    <w:rsid w:val="00D81C16"/>
    <w:rsid w:val="00DE526B"/>
    <w:rsid w:val="00DF199D"/>
    <w:rsid w:val="00E01542"/>
    <w:rsid w:val="00E365F1"/>
    <w:rsid w:val="00E62F48"/>
    <w:rsid w:val="00E826A7"/>
    <w:rsid w:val="00E831B3"/>
    <w:rsid w:val="00E95FBC"/>
    <w:rsid w:val="00EE139C"/>
    <w:rsid w:val="00EE70CB"/>
    <w:rsid w:val="00F30953"/>
    <w:rsid w:val="00F41CA2"/>
    <w:rsid w:val="00F443C0"/>
    <w:rsid w:val="00F522A8"/>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33203C3"/>
  <w15:chartTrackingRefBased/>
  <w15:docId w15:val="{449A74F3-7A89-43A6-B8E2-FC1BEF6F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79696E"/>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pPr>
      <w:spacing w:after="0" w:line="480" w:lineRule="auto"/>
    </w:pPr>
    <w:rPr>
      <w:rFonts w:ascii="Arial" w:hAnsi="Arial"/>
      <w:color w:val="000000" w:themeColor="text1"/>
    </w:rPr>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9696E"/>
    <w:rPr>
      <w:rFonts w:eastAsia="Calibri"/>
      <w:b/>
      <w:caps/>
      <w:color w:val="000000"/>
      <w:sz w:val="24"/>
    </w:rPr>
  </w:style>
  <w:style w:type="character" w:customStyle="1" w:styleId="SectionBodyChar">
    <w:name w:val="Section Body Char"/>
    <w:link w:val="SectionBody"/>
    <w:rsid w:val="0079696E"/>
    <w:rPr>
      <w:rFonts w:eastAsia="Calibri"/>
      <w:color w:val="000000"/>
    </w:rPr>
  </w:style>
  <w:style w:type="character" w:customStyle="1" w:styleId="SectionHeadingChar">
    <w:name w:val="Section Heading Char"/>
    <w:link w:val="SectionHeading"/>
    <w:rsid w:val="0079696E"/>
    <w:rPr>
      <w:rFonts w:eastAsia="Calibri"/>
      <w:b/>
      <w:color w:val="000000"/>
    </w:rPr>
  </w:style>
  <w:style w:type="paragraph" w:styleId="BalloonText">
    <w:name w:val="Balloon Text"/>
    <w:basedOn w:val="Normal"/>
    <w:link w:val="BalloonTextChar"/>
    <w:uiPriority w:val="99"/>
    <w:semiHidden/>
    <w:unhideWhenUsed/>
    <w:locked/>
    <w:rsid w:val="002B3B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B69"/>
    <w:rPr>
      <w:rFonts w:ascii="Segoe UI" w:hAnsi="Segoe UI" w:cs="Segoe UI"/>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ll.perrine\Desktop\Senate%20New.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4E3A0EBAC7448AAAB52635558CB8EE7"/>
        <w:category>
          <w:name w:val="General"/>
          <w:gallery w:val="placeholder"/>
        </w:category>
        <w:types>
          <w:type w:val="bbPlcHdr"/>
        </w:types>
        <w:behaviors>
          <w:behavior w:val="content"/>
        </w:behaviors>
        <w:guid w:val="{88BCA04E-6A1B-44AB-9F6C-3FE52275CDD4}"/>
      </w:docPartPr>
      <w:docPartBody>
        <w:p w:rsidR="00ED2DA9" w:rsidRDefault="00ED2DA9">
          <w:pPr>
            <w:pStyle w:val="64E3A0EBAC7448AAAB52635558CB8EE7"/>
          </w:pPr>
          <w:r w:rsidRPr="00B844FE">
            <w:t>Prefix Text</w:t>
          </w:r>
        </w:p>
      </w:docPartBody>
    </w:docPart>
    <w:docPart>
      <w:docPartPr>
        <w:name w:val="34B749578BFC4448940F0E3061FC37EF"/>
        <w:category>
          <w:name w:val="General"/>
          <w:gallery w:val="placeholder"/>
        </w:category>
        <w:types>
          <w:type w:val="bbPlcHdr"/>
        </w:types>
        <w:behaviors>
          <w:behavior w:val="content"/>
        </w:behaviors>
        <w:guid w:val="{0B0429FB-50E9-47E4-AAAD-8918E22FAAC5}"/>
      </w:docPartPr>
      <w:docPartBody>
        <w:p w:rsidR="00ED2DA9" w:rsidRDefault="005A2212">
          <w:pPr>
            <w:pStyle w:val="34B749578BFC4448940F0E3061FC37EF"/>
          </w:pPr>
          <w:r w:rsidRPr="00B844FE">
            <w:t>[Type here]</w:t>
          </w:r>
        </w:p>
      </w:docPartBody>
    </w:docPart>
    <w:docPart>
      <w:docPartPr>
        <w:name w:val="7DB4938FCD974571AAEE3F7D28AF2910"/>
        <w:category>
          <w:name w:val="General"/>
          <w:gallery w:val="placeholder"/>
        </w:category>
        <w:types>
          <w:type w:val="bbPlcHdr"/>
        </w:types>
        <w:behaviors>
          <w:behavior w:val="content"/>
        </w:behaviors>
        <w:guid w:val="{D0930FC4-48CE-42B5-84EC-805C63A91523}"/>
      </w:docPartPr>
      <w:docPartBody>
        <w:p w:rsidR="00ED2DA9" w:rsidRDefault="005A2212" w:rsidP="005A2212">
          <w:pPr>
            <w:pStyle w:val="7DB4938FCD974571AAEE3F7D28AF2910"/>
          </w:pPr>
          <w:r w:rsidRPr="00AE3C70">
            <w:rPr>
              <w:color w:val="auto"/>
            </w:rPr>
            <w:t>Number</w:t>
          </w:r>
        </w:p>
      </w:docPartBody>
    </w:docPart>
    <w:docPart>
      <w:docPartPr>
        <w:name w:val="DC6A1E86583D4ACD957AB95FB0FB661B"/>
        <w:category>
          <w:name w:val="General"/>
          <w:gallery w:val="placeholder"/>
        </w:category>
        <w:types>
          <w:type w:val="bbPlcHdr"/>
        </w:types>
        <w:behaviors>
          <w:behavior w:val="content"/>
        </w:behaviors>
        <w:guid w:val="{3BC29E01-BDF0-40C6-BE20-AB51CD469C42}"/>
      </w:docPartPr>
      <w:docPartBody>
        <w:p w:rsidR="00ED2DA9" w:rsidRDefault="00ED2DA9">
          <w:pPr>
            <w:pStyle w:val="DC6A1E86583D4ACD957AB95FB0FB661B"/>
          </w:pPr>
          <w:r w:rsidRPr="00B844FE">
            <w:t>Enter Sponsors Here</w:t>
          </w:r>
        </w:p>
      </w:docPartBody>
    </w:docPart>
    <w:docPart>
      <w:docPartPr>
        <w:name w:val="97D1BD9EF32D4B4E871406E0FF125EB4"/>
        <w:category>
          <w:name w:val="General"/>
          <w:gallery w:val="placeholder"/>
        </w:category>
        <w:types>
          <w:type w:val="bbPlcHdr"/>
        </w:types>
        <w:behaviors>
          <w:behavior w:val="content"/>
        </w:behaviors>
        <w:guid w:val="{B2275DEC-F74A-43A0-9C1C-FF978EBA6183}"/>
      </w:docPartPr>
      <w:docPartBody>
        <w:p w:rsidR="00ED2DA9" w:rsidRDefault="00ED2DA9">
          <w:pPr>
            <w:pStyle w:val="97D1BD9EF32D4B4E871406E0FF125EB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DA9"/>
    <w:rsid w:val="00293FAA"/>
    <w:rsid w:val="005A2212"/>
    <w:rsid w:val="00ED2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E3A0EBAC7448AAAB52635558CB8EE7">
    <w:name w:val="64E3A0EBAC7448AAAB52635558CB8EE7"/>
  </w:style>
  <w:style w:type="paragraph" w:customStyle="1" w:styleId="34B749578BFC4448940F0E3061FC37EF">
    <w:name w:val="34B749578BFC4448940F0E3061FC37EF"/>
  </w:style>
  <w:style w:type="paragraph" w:customStyle="1" w:styleId="DC6A1E86583D4ACD957AB95FB0FB661B">
    <w:name w:val="DC6A1E86583D4ACD957AB95FB0FB661B"/>
  </w:style>
  <w:style w:type="character" w:styleId="PlaceholderText">
    <w:name w:val="Placeholder Text"/>
    <w:basedOn w:val="DefaultParagraphFont"/>
    <w:uiPriority w:val="99"/>
    <w:semiHidden/>
    <w:rsid w:val="005A2212"/>
    <w:rPr>
      <w:color w:val="808080"/>
    </w:rPr>
  </w:style>
  <w:style w:type="paragraph" w:customStyle="1" w:styleId="97D1BD9EF32D4B4E871406E0FF125EB4">
    <w:name w:val="97D1BD9EF32D4B4E871406E0FF125EB4"/>
  </w:style>
  <w:style w:type="paragraph" w:customStyle="1" w:styleId="7DB4938FCD974571AAEE3F7D28AF2910">
    <w:name w:val="7DB4938FCD974571AAEE3F7D28AF2910"/>
    <w:rsid w:val="005A2212"/>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BC4C53FDA8CB42BE4EFDFEBB68094E" ma:contentTypeVersion="2" ma:contentTypeDescription="Create a new document." ma:contentTypeScope="" ma:versionID="cf79f5750af1b8e72bee4b1c08d5360f">
  <xsd:schema xmlns:xsd="http://www.w3.org/2001/XMLSchema" xmlns:xs="http://www.w3.org/2001/XMLSchema" xmlns:p="http://schemas.microsoft.com/office/2006/metadata/properties" xmlns:ns3="05b14964-08fe-4f87-90ae-bdf24f1a2257" targetNamespace="http://schemas.microsoft.com/office/2006/metadata/properties" ma:root="true" ma:fieldsID="f3a5cc1f9e861649914402cb24a13aa7" ns3:_="">
    <xsd:import namespace="05b14964-08fe-4f87-90ae-bdf24f1a225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14964-08fe-4f87-90ae-bdf24f1a2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08CA0-8694-4A2E-A9BA-5F9C952A80F8}">
  <ds:schemaRefs>
    <ds:schemaRef ds:uri="http://schemas.microsoft.com/sharepoint/v3/contenttype/forms"/>
  </ds:schemaRefs>
</ds:datastoreItem>
</file>

<file path=customXml/itemProps2.xml><?xml version="1.0" encoding="utf-8"?>
<ds:datastoreItem xmlns:ds="http://schemas.openxmlformats.org/officeDocument/2006/customXml" ds:itemID="{61CD04FB-221A-4CBB-93B8-0B7AD016D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14964-08fe-4f87-90ae-bdf24f1a22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CD5956-2B5C-4BF6-AFB6-A912A80D1BAF}">
  <ds:schemaRefs>
    <ds:schemaRef ds:uri="http://purl.org/dc/elements/1.1/"/>
    <ds:schemaRef ds:uri="http://schemas.microsoft.com/office/2006/documentManagement/types"/>
    <ds:schemaRef ds:uri="http://schemas.microsoft.com/office/infopath/2007/PartnerControls"/>
    <ds:schemaRef ds:uri="http://purl.org/dc/terms/"/>
    <ds:schemaRef ds:uri="05b14964-08fe-4f87-90ae-bdf24f1a2257"/>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CD41F696-2995-4E94-B252-4C2F4D4FD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Senate New</Template>
  <TotalTime>13</TotalTime>
  <Pages>3</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Perrine</dc:creator>
  <cp:keywords/>
  <dc:description/>
  <cp:lastModifiedBy>Xris Hess</cp:lastModifiedBy>
  <cp:revision>10</cp:revision>
  <cp:lastPrinted>2021-02-01T18:54:00Z</cp:lastPrinted>
  <dcterms:created xsi:type="dcterms:W3CDTF">2020-12-14T17:26:00Z</dcterms:created>
  <dcterms:modified xsi:type="dcterms:W3CDTF">2021-02-12T20:47:00Z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0x0101005BBC4C53FDA8CB42BE4EFDFEBB68094E</vt:lpwstr>
  </property>
</Properties>
</file>