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9E53C" w14:textId="77777777" w:rsidR="00FE067E" w:rsidRPr="0020221E" w:rsidRDefault="003C6034" w:rsidP="00CC1F3B">
      <w:pPr>
        <w:pStyle w:val="TitlePageOrigin"/>
        <w:rPr>
          <w:color w:val="auto"/>
        </w:rPr>
      </w:pPr>
      <w:r w:rsidRPr="0020221E">
        <w:rPr>
          <w:caps w:val="0"/>
          <w:color w:val="auto"/>
        </w:rPr>
        <w:t>WEST VIRGINIA LEGISLATURE</w:t>
      </w:r>
    </w:p>
    <w:p w14:paraId="65EBE199" w14:textId="6231B139" w:rsidR="00CD36CF" w:rsidRPr="0020221E" w:rsidRDefault="00CD36CF" w:rsidP="00CC1F3B">
      <w:pPr>
        <w:pStyle w:val="TitlePageSession"/>
        <w:rPr>
          <w:color w:val="auto"/>
        </w:rPr>
      </w:pPr>
      <w:r w:rsidRPr="0020221E">
        <w:rPr>
          <w:color w:val="auto"/>
        </w:rPr>
        <w:t>20</w:t>
      </w:r>
      <w:r w:rsidR="00EC5E63" w:rsidRPr="0020221E">
        <w:rPr>
          <w:color w:val="auto"/>
        </w:rPr>
        <w:t>2</w:t>
      </w:r>
      <w:r w:rsidR="00CC1FDF" w:rsidRPr="0020221E">
        <w:rPr>
          <w:color w:val="auto"/>
        </w:rPr>
        <w:t>4</w:t>
      </w:r>
      <w:r w:rsidRPr="0020221E">
        <w:rPr>
          <w:color w:val="auto"/>
        </w:rPr>
        <w:t xml:space="preserve"> </w:t>
      </w:r>
      <w:r w:rsidR="003C6034" w:rsidRPr="0020221E">
        <w:rPr>
          <w:caps w:val="0"/>
          <w:color w:val="auto"/>
        </w:rPr>
        <w:t>REGULAR SESSION</w:t>
      </w:r>
    </w:p>
    <w:p w14:paraId="253A8A44" w14:textId="77777777" w:rsidR="00CD36CF" w:rsidRPr="0020221E" w:rsidRDefault="00036DE9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69F4F8440D71417C86EB4D336706A598"/>
          </w:placeholder>
          <w:text/>
        </w:sdtPr>
        <w:sdtEndPr/>
        <w:sdtContent>
          <w:r w:rsidR="00AE48A0" w:rsidRPr="0020221E">
            <w:rPr>
              <w:color w:val="auto"/>
            </w:rPr>
            <w:t>Introduced</w:t>
          </w:r>
        </w:sdtContent>
      </w:sdt>
    </w:p>
    <w:p w14:paraId="51D72AD1" w14:textId="30358AC7" w:rsidR="00CD36CF" w:rsidRPr="0020221E" w:rsidRDefault="00036DE9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CE0DD8829384218A66E8448A99BDC40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20221E">
            <w:rPr>
              <w:color w:val="auto"/>
            </w:rPr>
            <w:t>House</w:t>
          </w:r>
        </w:sdtContent>
      </w:sdt>
      <w:r w:rsidR="00303684" w:rsidRPr="0020221E">
        <w:rPr>
          <w:color w:val="auto"/>
        </w:rPr>
        <w:t xml:space="preserve"> </w:t>
      </w:r>
      <w:r w:rsidR="00CD36CF" w:rsidRPr="0020221E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F01C182297D44F3B858D68E0629AE23F"/>
          </w:placeholder>
          <w:text/>
        </w:sdtPr>
        <w:sdtEndPr/>
        <w:sdtContent>
          <w:r>
            <w:rPr>
              <w:color w:val="auto"/>
            </w:rPr>
            <w:t>4441</w:t>
          </w:r>
        </w:sdtContent>
      </w:sdt>
    </w:p>
    <w:p w14:paraId="46928524" w14:textId="51B52F03" w:rsidR="00CD36CF" w:rsidRPr="0020221E" w:rsidRDefault="00CD36CF" w:rsidP="00CC1F3B">
      <w:pPr>
        <w:pStyle w:val="Sponsors"/>
        <w:rPr>
          <w:color w:val="auto"/>
        </w:rPr>
      </w:pPr>
      <w:r w:rsidRPr="0020221E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FACF0E0F60A74687B420F4ECC0D58E70"/>
          </w:placeholder>
          <w:text w:multiLine="1"/>
        </w:sdtPr>
        <w:sdtEndPr/>
        <w:sdtContent>
          <w:r w:rsidR="00BE7A4C" w:rsidRPr="0020221E">
            <w:rPr>
              <w:color w:val="auto"/>
            </w:rPr>
            <w:t>Delegate Howell</w:t>
          </w:r>
        </w:sdtContent>
      </w:sdt>
    </w:p>
    <w:p w14:paraId="7E0AA186" w14:textId="2633BDF5" w:rsidR="00E831B3" w:rsidRPr="0020221E" w:rsidRDefault="00CD36CF" w:rsidP="00CC1F3B">
      <w:pPr>
        <w:pStyle w:val="References"/>
        <w:rPr>
          <w:color w:val="auto"/>
        </w:rPr>
      </w:pPr>
      <w:r w:rsidRPr="0020221E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C3D8D724334946109817B090AF15869E"/>
          </w:placeholder>
          <w:text w:multiLine="1"/>
        </w:sdtPr>
        <w:sdtEndPr/>
        <w:sdtContent>
          <w:r w:rsidR="00036DE9">
            <w:rPr>
              <w:color w:val="auto"/>
            </w:rPr>
            <w:t>Introduced January 10, 2024; Referred to the Committee on the Judiciary</w:t>
          </w:r>
        </w:sdtContent>
      </w:sdt>
      <w:r w:rsidRPr="0020221E">
        <w:rPr>
          <w:color w:val="auto"/>
        </w:rPr>
        <w:t>]</w:t>
      </w:r>
    </w:p>
    <w:p w14:paraId="78E37DA6" w14:textId="534B24EF" w:rsidR="00303684" w:rsidRPr="0020221E" w:rsidRDefault="0000526A" w:rsidP="00CC1F3B">
      <w:pPr>
        <w:pStyle w:val="TitleSection"/>
        <w:rPr>
          <w:color w:val="auto"/>
        </w:rPr>
      </w:pPr>
      <w:r w:rsidRPr="0020221E">
        <w:rPr>
          <w:color w:val="auto"/>
        </w:rPr>
        <w:lastRenderedPageBreak/>
        <w:t>A BILL</w:t>
      </w:r>
      <w:r w:rsidR="00BE7A4C" w:rsidRPr="0020221E">
        <w:rPr>
          <w:color w:val="auto"/>
        </w:rPr>
        <w:t xml:space="preserve"> to amend the Code of West Virginia, 1931, as amended, by adding thereto a new section, designated §46A-2-141, relating to exempting certain assets from collections by creditors.</w:t>
      </w:r>
    </w:p>
    <w:p w14:paraId="4A583FC4" w14:textId="77777777" w:rsidR="00303684" w:rsidRPr="0020221E" w:rsidRDefault="00303684" w:rsidP="00CC1F3B">
      <w:pPr>
        <w:pStyle w:val="EnactingClause"/>
        <w:rPr>
          <w:color w:val="auto"/>
        </w:rPr>
      </w:pPr>
      <w:r w:rsidRPr="0020221E">
        <w:rPr>
          <w:color w:val="auto"/>
        </w:rPr>
        <w:t>Be it enacted by the Legislature of West Virginia:</w:t>
      </w:r>
    </w:p>
    <w:p w14:paraId="369322C9" w14:textId="77777777" w:rsidR="003C6034" w:rsidRPr="0020221E" w:rsidRDefault="003C6034" w:rsidP="00CC1F3B">
      <w:pPr>
        <w:pStyle w:val="EnactingClause"/>
        <w:rPr>
          <w:color w:val="auto"/>
        </w:rPr>
        <w:sectPr w:rsidR="003C6034" w:rsidRPr="0020221E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741B79D" w14:textId="77777777" w:rsidR="00BE7A4C" w:rsidRPr="0020221E" w:rsidRDefault="00BE7A4C" w:rsidP="00BE7A4C">
      <w:pPr>
        <w:pStyle w:val="ArticleHeading"/>
        <w:rPr>
          <w:color w:val="auto"/>
        </w:rPr>
      </w:pPr>
      <w:r w:rsidRPr="0020221E">
        <w:rPr>
          <w:color w:val="auto"/>
        </w:rPr>
        <w:t>ARTICLE 2. CONSUMER CREDIT PROTECTION.</w:t>
      </w:r>
    </w:p>
    <w:p w14:paraId="0F2DE2D9" w14:textId="77777777" w:rsidR="00BE7A4C" w:rsidRPr="0020221E" w:rsidRDefault="00BE7A4C" w:rsidP="00BE7A4C">
      <w:pPr>
        <w:pStyle w:val="SectionBody"/>
        <w:rPr>
          <w:b/>
          <w:bCs/>
          <w:color w:val="auto"/>
        </w:rPr>
        <w:sectPr w:rsidR="00BE7A4C" w:rsidRPr="0020221E" w:rsidSect="00BE7A4C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6E644604" w14:textId="77777777" w:rsidR="00BE7A4C" w:rsidRPr="0020221E" w:rsidRDefault="00BE7A4C" w:rsidP="00BE7A4C">
      <w:pPr>
        <w:pStyle w:val="SectionHeading"/>
        <w:rPr>
          <w:color w:val="auto"/>
          <w:u w:val="single"/>
        </w:rPr>
      </w:pPr>
      <w:r w:rsidRPr="0020221E">
        <w:rPr>
          <w:color w:val="auto"/>
          <w:u w:val="single"/>
        </w:rPr>
        <w:t>§46A-2-141. Exempting certain classes of property from collections.</w:t>
      </w:r>
    </w:p>
    <w:p w14:paraId="17DF0795" w14:textId="77777777" w:rsidR="00BE7A4C" w:rsidRPr="0020221E" w:rsidRDefault="00BE7A4C" w:rsidP="00BE7A4C">
      <w:pPr>
        <w:pStyle w:val="SectionBody"/>
        <w:rPr>
          <w:color w:val="auto"/>
          <w:u w:val="single"/>
        </w:rPr>
      </w:pPr>
      <w:r w:rsidRPr="0020221E">
        <w:rPr>
          <w:color w:val="auto"/>
          <w:u w:val="single"/>
        </w:rPr>
        <w:t>(a) The provisions of this section apply to permanent residents of the State of West Virginia.</w:t>
      </w:r>
    </w:p>
    <w:p w14:paraId="6232A9FB" w14:textId="77777777" w:rsidR="00BE7A4C" w:rsidRPr="0020221E" w:rsidRDefault="00BE7A4C" w:rsidP="00BE7A4C">
      <w:pPr>
        <w:pStyle w:val="SectionBody"/>
        <w:rPr>
          <w:color w:val="auto"/>
          <w:u w:val="single"/>
        </w:rPr>
      </w:pPr>
      <w:r w:rsidRPr="0020221E">
        <w:rPr>
          <w:color w:val="auto"/>
          <w:u w:val="single"/>
        </w:rPr>
        <w:t>(b) Notwithstanding the provisions of this article, the following classes of property are assets not subject to collection, judgment, or garnishment for default of any consumer credit or installment obligation:</w:t>
      </w:r>
    </w:p>
    <w:p w14:paraId="4CAFEDA1" w14:textId="77777777" w:rsidR="00BE7A4C" w:rsidRPr="0020221E" w:rsidRDefault="00BE7A4C" w:rsidP="00BE7A4C">
      <w:pPr>
        <w:pStyle w:val="SectionBody"/>
        <w:rPr>
          <w:color w:val="auto"/>
          <w:u w:val="single"/>
        </w:rPr>
      </w:pPr>
      <w:r w:rsidRPr="0020221E">
        <w:rPr>
          <w:color w:val="auto"/>
          <w:u w:val="single"/>
        </w:rPr>
        <w:t>(1)  Head of household wages up to the federal or state minimum wages, applied at a full time rate of 50 hours per week, 52 weeks per year. Wages above this minimum threshold are subject to garnishment under this article,</w:t>
      </w:r>
    </w:p>
    <w:p w14:paraId="143C2577" w14:textId="77777777" w:rsidR="00BE7A4C" w:rsidRPr="0020221E" w:rsidRDefault="00BE7A4C" w:rsidP="00BE7A4C">
      <w:pPr>
        <w:pStyle w:val="SectionBody"/>
        <w:rPr>
          <w:color w:val="auto"/>
          <w:u w:val="single"/>
        </w:rPr>
      </w:pPr>
      <w:r w:rsidRPr="0020221E">
        <w:rPr>
          <w:color w:val="auto"/>
          <w:u w:val="single"/>
        </w:rPr>
        <w:t>(2) Annuities or life insurance proceeds paid to the debtor including any applicable cash surrender value,</w:t>
      </w:r>
    </w:p>
    <w:p w14:paraId="6275EFE4" w14:textId="77777777" w:rsidR="00BE7A4C" w:rsidRPr="0020221E" w:rsidRDefault="00BE7A4C" w:rsidP="00BE7A4C">
      <w:pPr>
        <w:pStyle w:val="SectionBody"/>
        <w:rPr>
          <w:color w:val="auto"/>
          <w:u w:val="single"/>
        </w:rPr>
      </w:pPr>
      <w:r w:rsidRPr="0020221E">
        <w:rPr>
          <w:color w:val="auto"/>
          <w:u w:val="single"/>
        </w:rPr>
        <w:t>(3) The first $5,000 of assessed value of a homestead that is used and occupied by the owner thereof exclusively for residential purposes,</w:t>
      </w:r>
    </w:p>
    <w:p w14:paraId="6180D75E" w14:textId="77777777" w:rsidR="00BE7A4C" w:rsidRPr="0020221E" w:rsidRDefault="00BE7A4C" w:rsidP="00BE7A4C">
      <w:pPr>
        <w:pStyle w:val="SectionBody"/>
        <w:rPr>
          <w:color w:val="auto"/>
          <w:u w:val="single"/>
        </w:rPr>
      </w:pPr>
      <w:r w:rsidRPr="0020221E">
        <w:rPr>
          <w:color w:val="auto"/>
          <w:u w:val="single"/>
        </w:rPr>
        <w:t>(4) Tax advantage retirement accounts, including Roth IRA, IRA, and 401k,</w:t>
      </w:r>
    </w:p>
    <w:p w14:paraId="26D30D50" w14:textId="77777777" w:rsidR="00BE7A4C" w:rsidRPr="0020221E" w:rsidRDefault="00BE7A4C" w:rsidP="00BE7A4C">
      <w:pPr>
        <w:pStyle w:val="SectionBody"/>
        <w:rPr>
          <w:color w:val="auto"/>
          <w:u w:val="single"/>
        </w:rPr>
      </w:pPr>
      <w:r w:rsidRPr="0020221E">
        <w:rPr>
          <w:color w:val="auto"/>
          <w:u w:val="single"/>
        </w:rPr>
        <w:t>(5) Disability or death benefit income,</w:t>
      </w:r>
    </w:p>
    <w:p w14:paraId="09B27994" w14:textId="77777777" w:rsidR="00BE7A4C" w:rsidRPr="0020221E" w:rsidRDefault="00BE7A4C" w:rsidP="00BE7A4C">
      <w:pPr>
        <w:pStyle w:val="SectionBody"/>
        <w:rPr>
          <w:color w:val="auto"/>
          <w:u w:val="single"/>
        </w:rPr>
      </w:pPr>
      <w:r w:rsidRPr="0020221E">
        <w:rPr>
          <w:color w:val="auto"/>
          <w:u w:val="single"/>
        </w:rPr>
        <w:t>(6) Prepaid college funding accounts, and</w:t>
      </w:r>
    </w:p>
    <w:p w14:paraId="45AA5807" w14:textId="1EEEC922" w:rsidR="008736AA" w:rsidRPr="0020221E" w:rsidRDefault="00BE7A4C" w:rsidP="00BE7A4C">
      <w:pPr>
        <w:pStyle w:val="SectionBody"/>
        <w:rPr>
          <w:color w:val="auto"/>
        </w:rPr>
      </w:pPr>
      <w:r w:rsidRPr="0020221E">
        <w:rPr>
          <w:color w:val="auto"/>
          <w:u w:val="single"/>
        </w:rPr>
        <w:t>(7) Social security income.</w:t>
      </w:r>
    </w:p>
    <w:p w14:paraId="32FFEAAC" w14:textId="77777777" w:rsidR="00C33014" w:rsidRPr="0020221E" w:rsidRDefault="00C33014" w:rsidP="00CC1F3B">
      <w:pPr>
        <w:pStyle w:val="Note"/>
        <w:rPr>
          <w:color w:val="auto"/>
        </w:rPr>
      </w:pPr>
    </w:p>
    <w:p w14:paraId="1EDA9211" w14:textId="794A7FAE" w:rsidR="006865E9" w:rsidRPr="0020221E" w:rsidRDefault="00CF1DCA" w:rsidP="00CC1F3B">
      <w:pPr>
        <w:pStyle w:val="Note"/>
        <w:rPr>
          <w:color w:val="auto"/>
        </w:rPr>
      </w:pPr>
      <w:r w:rsidRPr="0020221E">
        <w:rPr>
          <w:color w:val="auto"/>
        </w:rPr>
        <w:t>NOTE: The</w:t>
      </w:r>
      <w:r w:rsidR="006865E9" w:rsidRPr="0020221E">
        <w:rPr>
          <w:color w:val="auto"/>
        </w:rPr>
        <w:t xml:space="preserve"> purpose of this bill is to </w:t>
      </w:r>
      <w:r w:rsidR="007265CF" w:rsidRPr="0020221E">
        <w:rPr>
          <w:color w:val="auto"/>
        </w:rPr>
        <w:t>provide certain classes of assets exempt from collection, judgment, or garnishment for default of any consumer credit or installment obligation.</w:t>
      </w:r>
    </w:p>
    <w:p w14:paraId="422257E3" w14:textId="77777777" w:rsidR="006865E9" w:rsidRPr="0020221E" w:rsidRDefault="00AE48A0" w:rsidP="00CC1F3B">
      <w:pPr>
        <w:pStyle w:val="Note"/>
        <w:rPr>
          <w:color w:val="auto"/>
        </w:rPr>
      </w:pPr>
      <w:r w:rsidRPr="0020221E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20221E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870D5" w14:textId="77777777" w:rsidR="00BE7A4C" w:rsidRPr="00B844FE" w:rsidRDefault="00BE7A4C" w:rsidP="00B844FE">
      <w:r>
        <w:separator/>
      </w:r>
    </w:p>
  </w:endnote>
  <w:endnote w:type="continuationSeparator" w:id="0">
    <w:p w14:paraId="239D1892" w14:textId="77777777" w:rsidR="00BE7A4C" w:rsidRPr="00B844FE" w:rsidRDefault="00BE7A4C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CB441DB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A4F3704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D1BC53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A79F1" w14:textId="77777777" w:rsidR="008A4C18" w:rsidRDefault="008A4C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284C5" w14:textId="77777777" w:rsidR="00BE7A4C" w:rsidRPr="00B844FE" w:rsidRDefault="00BE7A4C" w:rsidP="00B844FE">
      <w:r>
        <w:separator/>
      </w:r>
    </w:p>
  </w:footnote>
  <w:footnote w:type="continuationSeparator" w:id="0">
    <w:p w14:paraId="65ABAA63" w14:textId="77777777" w:rsidR="00BE7A4C" w:rsidRPr="00B844FE" w:rsidRDefault="00BE7A4C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C9F6F" w14:textId="77777777" w:rsidR="002A0269" w:rsidRPr="00B844FE" w:rsidRDefault="00036DE9">
    <w:pPr>
      <w:pStyle w:val="Header"/>
    </w:pPr>
    <w:sdt>
      <w:sdtPr>
        <w:id w:val="-684364211"/>
        <w:placeholder>
          <w:docPart w:val="4CE0DD8829384218A66E8448A99BDC40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CE0DD8829384218A66E8448A99BDC40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D1F24" w14:textId="7139B5BA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7D7853" w:rsidRPr="00BA0C85">
      <w:rPr>
        <w:color w:val="auto"/>
        <w:sz w:val="22"/>
        <w:szCs w:val="22"/>
      </w:rPr>
      <w:t>HB</w:t>
    </w:r>
    <w:r w:rsidR="00C33014" w:rsidRPr="007D7853">
      <w:rPr>
        <w:color w:val="7030A0"/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7265CF">
          <w:rPr>
            <w:sz w:val="22"/>
            <w:szCs w:val="22"/>
          </w:rPr>
          <w:t>202</w:t>
        </w:r>
        <w:r w:rsidR="00CC1FDF">
          <w:rPr>
            <w:sz w:val="22"/>
            <w:szCs w:val="22"/>
          </w:rPr>
          <w:t>4R1095</w:t>
        </w:r>
      </w:sdtContent>
    </w:sdt>
  </w:p>
  <w:p w14:paraId="63206212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C465C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968365110">
    <w:abstractNumId w:val="0"/>
  </w:num>
  <w:num w:numId="2" w16cid:durableId="143931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A4C"/>
    <w:rsid w:val="0000526A"/>
    <w:rsid w:val="00036DE9"/>
    <w:rsid w:val="000573A9"/>
    <w:rsid w:val="00085D22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0221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778EF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265CF"/>
    <w:rsid w:val="007A5259"/>
    <w:rsid w:val="007A7081"/>
    <w:rsid w:val="007D7853"/>
    <w:rsid w:val="007F1CF5"/>
    <w:rsid w:val="00834EDE"/>
    <w:rsid w:val="008736AA"/>
    <w:rsid w:val="008A4C18"/>
    <w:rsid w:val="008D275D"/>
    <w:rsid w:val="00980327"/>
    <w:rsid w:val="00986478"/>
    <w:rsid w:val="009B5557"/>
    <w:rsid w:val="009C6A70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80C20"/>
    <w:rsid w:val="00B844FE"/>
    <w:rsid w:val="00B86B4F"/>
    <w:rsid w:val="00BA0C85"/>
    <w:rsid w:val="00BA1F84"/>
    <w:rsid w:val="00BC562B"/>
    <w:rsid w:val="00BE7A4C"/>
    <w:rsid w:val="00C33014"/>
    <w:rsid w:val="00C33434"/>
    <w:rsid w:val="00C34869"/>
    <w:rsid w:val="00C42EB6"/>
    <w:rsid w:val="00C85096"/>
    <w:rsid w:val="00CB20EF"/>
    <w:rsid w:val="00CC1F3B"/>
    <w:rsid w:val="00CC1FDF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2CB3DC"/>
  <w15:chartTrackingRefBased/>
  <w15:docId w15:val="{B1583108-BF98-4602-8158-9CE7581C2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BE7A4C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9F4F8440D71417C86EB4D336706A5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39339-8BE4-4BDA-84AB-44D4651EC908}"/>
      </w:docPartPr>
      <w:docPartBody>
        <w:p w:rsidR="006415C5" w:rsidRDefault="006415C5">
          <w:pPr>
            <w:pStyle w:val="69F4F8440D71417C86EB4D336706A598"/>
          </w:pPr>
          <w:r w:rsidRPr="00B844FE">
            <w:t>Prefix Text</w:t>
          </w:r>
        </w:p>
      </w:docPartBody>
    </w:docPart>
    <w:docPart>
      <w:docPartPr>
        <w:name w:val="4CE0DD8829384218A66E8448A99BDC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D21E7F-F13A-45B6-814A-E867E423F216}"/>
      </w:docPartPr>
      <w:docPartBody>
        <w:p w:rsidR="006415C5" w:rsidRDefault="006415C5">
          <w:pPr>
            <w:pStyle w:val="4CE0DD8829384218A66E8448A99BDC40"/>
          </w:pPr>
          <w:r w:rsidRPr="00B844FE">
            <w:t>[Type here]</w:t>
          </w:r>
        </w:p>
      </w:docPartBody>
    </w:docPart>
    <w:docPart>
      <w:docPartPr>
        <w:name w:val="F01C182297D44F3B858D68E0629AE2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690822-D925-4056-9293-DE947A487C50}"/>
      </w:docPartPr>
      <w:docPartBody>
        <w:p w:rsidR="006415C5" w:rsidRDefault="006415C5">
          <w:pPr>
            <w:pStyle w:val="F01C182297D44F3B858D68E0629AE23F"/>
          </w:pPr>
          <w:r w:rsidRPr="00B844FE">
            <w:t>Number</w:t>
          </w:r>
        </w:p>
      </w:docPartBody>
    </w:docPart>
    <w:docPart>
      <w:docPartPr>
        <w:name w:val="FACF0E0F60A74687B420F4ECC0D58E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1CF828-D188-4760-B0F3-F1EFE92F4C75}"/>
      </w:docPartPr>
      <w:docPartBody>
        <w:p w:rsidR="006415C5" w:rsidRDefault="006415C5">
          <w:pPr>
            <w:pStyle w:val="FACF0E0F60A74687B420F4ECC0D58E70"/>
          </w:pPr>
          <w:r w:rsidRPr="00B844FE">
            <w:t>Enter Sponsors Here</w:t>
          </w:r>
        </w:p>
      </w:docPartBody>
    </w:docPart>
    <w:docPart>
      <w:docPartPr>
        <w:name w:val="C3D8D724334946109817B090AF1586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94ABC-33DE-4EA5-B40A-3F29A26DAA55}"/>
      </w:docPartPr>
      <w:docPartBody>
        <w:p w:rsidR="006415C5" w:rsidRDefault="006415C5">
          <w:pPr>
            <w:pStyle w:val="C3D8D724334946109817B090AF15869E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5C5"/>
    <w:rsid w:val="00641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9F4F8440D71417C86EB4D336706A598">
    <w:name w:val="69F4F8440D71417C86EB4D336706A598"/>
  </w:style>
  <w:style w:type="paragraph" w:customStyle="1" w:styleId="4CE0DD8829384218A66E8448A99BDC40">
    <w:name w:val="4CE0DD8829384218A66E8448A99BDC40"/>
  </w:style>
  <w:style w:type="paragraph" w:customStyle="1" w:styleId="F01C182297D44F3B858D68E0629AE23F">
    <w:name w:val="F01C182297D44F3B858D68E0629AE23F"/>
  </w:style>
  <w:style w:type="paragraph" w:customStyle="1" w:styleId="FACF0E0F60A74687B420F4ECC0D58E70">
    <w:name w:val="FACF0E0F60A74687B420F4ECC0D58E70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3D8D724334946109817B090AF15869E">
    <w:name w:val="C3D8D724334946109817B090AF1586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Sam Rowe</cp:lastModifiedBy>
  <cp:revision>2</cp:revision>
  <cp:lastPrinted>2022-12-13T15:24:00Z</cp:lastPrinted>
  <dcterms:created xsi:type="dcterms:W3CDTF">2024-01-26T19:14:00Z</dcterms:created>
  <dcterms:modified xsi:type="dcterms:W3CDTF">2024-01-26T19:14:00Z</dcterms:modified>
</cp:coreProperties>
</file>