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74D9" w14:textId="77777777" w:rsidR="00FE067E" w:rsidRPr="00CC2F62" w:rsidRDefault="003C6034" w:rsidP="00CC1F3B">
      <w:pPr>
        <w:pStyle w:val="TitlePageOrigin"/>
        <w:rPr>
          <w:color w:val="auto"/>
        </w:rPr>
      </w:pPr>
      <w:r w:rsidRPr="00CC2F62">
        <w:rPr>
          <w:caps w:val="0"/>
          <w:color w:val="auto"/>
        </w:rPr>
        <w:t>WEST VIRGINIA LEGISLATURE</w:t>
      </w:r>
    </w:p>
    <w:p w14:paraId="39458512" w14:textId="77777777" w:rsidR="00CD36CF" w:rsidRPr="00CC2F62" w:rsidRDefault="00CD36CF" w:rsidP="00CC1F3B">
      <w:pPr>
        <w:pStyle w:val="TitlePageSession"/>
        <w:rPr>
          <w:color w:val="auto"/>
        </w:rPr>
      </w:pPr>
      <w:r w:rsidRPr="00CC2F62">
        <w:rPr>
          <w:color w:val="auto"/>
        </w:rPr>
        <w:t>20</w:t>
      </w:r>
      <w:r w:rsidR="00EC5E63" w:rsidRPr="00CC2F62">
        <w:rPr>
          <w:color w:val="auto"/>
        </w:rPr>
        <w:t>2</w:t>
      </w:r>
      <w:r w:rsidR="00C62327" w:rsidRPr="00CC2F62">
        <w:rPr>
          <w:color w:val="auto"/>
        </w:rPr>
        <w:t>4</w:t>
      </w:r>
      <w:r w:rsidRPr="00CC2F62">
        <w:rPr>
          <w:color w:val="auto"/>
        </w:rPr>
        <w:t xml:space="preserve"> </w:t>
      </w:r>
      <w:r w:rsidR="003C6034" w:rsidRPr="00CC2F62">
        <w:rPr>
          <w:caps w:val="0"/>
          <w:color w:val="auto"/>
        </w:rPr>
        <w:t>REGULAR SESSION</w:t>
      </w:r>
    </w:p>
    <w:p w14:paraId="3B0ECE05" w14:textId="77777777" w:rsidR="00CD36CF" w:rsidRPr="00CC2F62" w:rsidRDefault="0099342A" w:rsidP="00CC1F3B">
      <w:pPr>
        <w:pStyle w:val="TitlePageBillPrefix"/>
        <w:rPr>
          <w:color w:val="auto"/>
        </w:rPr>
      </w:pPr>
      <w:sdt>
        <w:sdtPr>
          <w:rPr>
            <w:color w:val="auto"/>
          </w:rPr>
          <w:tag w:val="IntroDate"/>
          <w:id w:val="-1236936958"/>
          <w:placeholder>
            <w:docPart w:val="C6AA1DCD68F343F282AF96E1AA88AAE6"/>
          </w:placeholder>
          <w:text/>
        </w:sdtPr>
        <w:sdtEndPr/>
        <w:sdtContent>
          <w:r w:rsidR="00AE48A0" w:rsidRPr="00CC2F62">
            <w:rPr>
              <w:color w:val="auto"/>
            </w:rPr>
            <w:t>Introduced</w:t>
          </w:r>
        </w:sdtContent>
      </w:sdt>
    </w:p>
    <w:p w14:paraId="42025E6C" w14:textId="574E818E" w:rsidR="00CD36CF" w:rsidRPr="00CC2F62" w:rsidRDefault="0099342A" w:rsidP="00CC1F3B">
      <w:pPr>
        <w:pStyle w:val="BillNumber"/>
        <w:rPr>
          <w:color w:val="auto"/>
        </w:rPr>
      </w:pPr>
      <w:sdt>
        <w:sdtPr>
          <w:rPr>
            <w:color w:val="auto"/>
          </w:rPr>
          <w:tag w:val="Chamber"/>
          <w:id w:val="893011969"/>
          <w:lock w:val="sdtLocked"/>
          <w:placeholder>
            <w:docPart w:val="E5D264EB6EC240F8BDF9B16ED951C0BA"/>
          </w:placeholder>
          <w:dropDownList>
            <w:listItem w:displayText="House" w:value="House"/>
            <w:listItem w:displayText="Senate" w:value="Senate"/>
          </w:dropDownList>
        </w:sdtPr>
        <w:sdtEndPr/>
        <w:sdtContent>
          <w:r w:rsidR="0063470A" w:rsidRPr="00CC2F62">
            <w:rPr>
              <w:color w:val="auto"/>
            </w:rPr>
            <w:t>House</w:t>
          </w:r>
        </w:sdtContent>
      </w:sdt>
      <w:r w:rsidR="00303684" w:rsidRPr="00CC2F62">
        <w:rPr>
          <w:color w:val="auto"/>
        </w:rPr>
        <w:t xml:space="preserve"> </w:t>
      </w:r>
      <w:r w:rsidR="00CD36CF" w:rsidRPr="00CC2F62">
        <w:rPr>
          <w:color w:val="auto"/>
        </w:rPr>
        <w:t xml:space="preserve">Bill </w:t>
      </w:r>
      <w:sdt>
        <w:sdtPr>
          <w:rPr>
            <w:color w:val="auto"/>
          </w:rPr>
          <w:tag w:val="BNum"/>
          <w:id w:val="1645317809"/>
          <w:lock w:val="sdtLocked"/>
          <w:placeholder>
            <w:docPart w:val="E27F8D2CDFD74889A16FDC2083EC19FE"/>
          </w:placeholder>
          <w:text/>
        </w:sdtPr>
        <w:sdtEndPr/>
        <w:sdtContent>
          <w:r>
            <w:rPr>
              <w:color w:val="auto"/>
            </w:rPr>
            <w:t>5011</w:t>
          </w:r>
        </w:sdtContent>
      </w:sdt>
    </w:p>
    <w:p w14:paraId="6FED2F72" w14:textId="7F1C08FF" w:rsidR="00CD36CF" w:rsidRPr="00CC2F62" w:rsidRDefault="00CD36CF" w:rsidP="00CC1F3B">
      <w:pPr>
        <w:pStyle w:val="Sponsors"/>
        <w:rPr>
          <w:color w:val="auto"/>
        </w:rPr>
      </w:pPr>
      <w:r w:rsidRPr="00CC2F62">
        <w:rPr>
          <w:color w:val="auto"/>
        </w:rPr>
        <w:t xml:space="preserve">By </w:t>
      </w:r>
      <w:sdt>
        <w:sdtPr>
          <w:rPr>
            <w:color w:val="auto"/>
          </w:rPr>
          <w:tag w:val="Sponsors"/>
          <w:id w:val="1589585889"/>
          <w:placeholder>
            <w:docPart w:val="4BA9F2A412FF4D878743E9EE8B91B540"/>
          </w:placeholder>
          <w:text w:multiLine="1"/>
        </w:sdtPr>
        <w:sdtEndPr/>
        <w:sdtContent>
          <w:r w:rsidR="0063470A" w:rsidRPr="00CC2F62">
            <w:rPr>
              <w:color w:val="auto"/>
            </w:rPr>
            <w:t>Delegate</w:t>
          </w:r>
          <w:r w:rsidR="00C24E6B">
            <w:rPr>
              <w:color w:val="auto"/>
            </w:rPr>
            <w:t>s</w:t>
          </w:r>
          <w:r w:rsidR="0063470A" w:rsidRPr="00CC2F62">
            <w:rPr>
              <w:color w:val="auto"/>
            </w:rPr>
            <w:t xml:space="preserve"> </w:t>
          </w:r>
          <w:r w:rsidR="001F19EF" w:rsidRPr="00CC2F62">
            <w:rPr>
              <w:color w:val="auto"/>
            </w:rPr>
            <w:t>Ferrell</w:t>
          </w:r>
          <w:r w:rsidR="00C24E6B">
            <w:rPr>
              <w:color w:val="auto"/>
            </w:rPr>
            <w:t>, Rohrbach, Hanshaw (Mr. Speaker), Campbell, DeVault, Gearheart, Barnhart, W. Hall, Heckert, Westfall, and Sheedy</w:t>
          </w:r>
        </w:sdtContent>
      </w:sdt>
    </w:p>
    <w:p w14:paraId="79421CED" w14:textId="48776B33" w:rsidR="00E831B3" w:rsidRPr="00CC2F62" w:rsidRDefault="00CD36CF" w:rsidP="00CC1F3B">
      <w:pPr>
        <w:pStyle w:val="References"/>
        <w:rPr>
          <w:color w:val="auto"/>
        </w:rPr>
      </w:pPr>
      <w:r w:rsidRPr="00CC2F62">
        <w:rPr>
          <w:color w:val="auto"/>
        </w:rPr>
        <w:t>[</w:t>
      </w:r>
      <w:sdt>
        <w:sdtPr>
          <w:rPr>
            <w:color w:val="auto"/>
          </w:rPr>
          <w:tag w:val="References"/>
          <w:id w:val="-1043047873"/>
          <w:placeholder>
            <w:docPart w:val="11D49B69F2B2483F887654068A05B5B9"/>
          </w:placeholder>
          <w:text w:multiLine="1"/>
        </w:sdtPr>
        <w:sdtEndPr/>
        <w:sdtContent>
          <w:r w:rsidR="0099342A">
            <w:rPr>
              <w:color w:val="auto"/>
            </w:rPr>
            <w:t>Introduced January 23, 2024; Referred to the Committee on Education</w:t>
          </w:r>
        </w:sdtContent>
      </w:sdt>
      <w:r w:rsidRPr="00CC2F62">
        <w:rPr>
          <w:color w:val="auto"/>
        </w:rPr>
        <w:t>]</w:t>
      </w:r>
    </w:p>
    <w:p w14:paraId="785C9B51" w14:textId="2E998B63" w:rsidR="00303684" w:rsidRPr="00CC2F62" w:rsidRDefault="00775416" w:rsidP="00CC1F3B">
      <w:pPr>
        <w:pStyle w:val="TitleSection"/>
        <w:rPr>
          <w:color w:val="auto"/>
        </w:rPr>
      </w:pPr>
      <w:r w:rsidRPr="00CC2F62">
        <w:rPr>
          <w:color w:val="auto"/>
        </w:rPr>
        <w:lastRenderedPageBreak/>
        <w:t>A BILL to amend and reenact §</w:t>
      </w:r>
      <w:r w:rsidR="0063470A" w:rsidRPr="00CC2F62">
        <w:rPr>
          <w:color w:val="auto"/>
        </w:rPr>
        <w:t>1</w:t>
      </w:r>
      <w:r w:rsidR="001F19EF" w:rsidRPr="00CC2F62">
        <w:rPr>
          <w:color w:val="auto"/>
        </w:rPr>
        <w:t>8-2-25e</w:t>
      </w:r>
      <w:r w:rsidRPr="00CC2F62">
        <w:rPr>
          <w:color w:val="auto"/>
        </w:rPr>
        <w:t xml:space="preserve"> of the Code of West Virginia, 1931, as amended, relating to </w:t>
      </w:r>
      <w:r w:rsidR="001F19EF" w:rsidRPr="00CC2F62">
        <w:rPr>
          <w:color w:val="auto"/>
        </w:rPr>
        <w:t>remove the one-time free transfer for high school student-athletes and to create a new system for transferring high school student-athletes in general.</w:t>
      </w:r>
    </w:p>
    <w:p w14:paraId="7A418397" w14:textId="5EC07B0A" w:rsidR="006747D0" w:rsidRPr="00CC2F62" w:rsidRDefault="00303684" w:rsidP="00775416">
      <w:pPr>
        <w:pStyle w:val="EnactingClause"/>
        <w:rPr>
          <w:color w:val="auto"/>
        </w:rPr>
      </w:pPr>
      <w:r w:rsidRPr="00CC2F62">
        <w:rPr>
          <w:color w:val="auto"/>
        </w:rPr>
        <w:t>Be it enacted by the Legislature of West Virginia:</w:t>
      </w:r>
    </w:p>
    <w:p w14:paraId="1AFB5E60" w14:textId="77777777" w:rsidR="00873BBD" w:rsidRPr="00CC2F62" w:rsidRDefault="00775416" w:rsidP="00775416">
      <w:pPr>
        <w:pStyle w:val="ArticleHeading"/>
        <w:rPr>
          <w:color w:val="auto"/>
        </w:rPr>
        <w:sectPr w:rsidR="00873BBD" w:rsidRPr="00CC2F62" w:rsidSect="00873B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C2F62">
        <w:rPr>
          <w:color w:val="auto"/>
        </w:rPr>
        <w:t xml:space="preserve">Article </w:t>
      </w:r>
      <w:r w:rsidR="001F19EF" w:rsidRPr="00CC2F62">
        <w:rPr>
          <w:color w:val="auto"/>
        </w:rPr>
        <w:t>2</w:t>
      </w:r>
      <w:r w:rsidRPr="00CC2F62">
        <w:rPr>
          <w:color w:val="auto"/>
        </w:rPr>
        <w:t xml:space="preserve">. </w:t>
      </w:r>
      <w:r w:rsidR="0063470A" w:rsidRPr="00CC2F62">
        <w:rPr>
          <w:color w:val="auto"/>
        </w:rPr>
        <w:t>St</w:t>
      </w:r>
      <w:r w:rsidR="001F19EF" w:rsidRPr="00CC2F62">
        <w:rPr>
          <w:color w:val="auto"/>
        </w:rPr>
        <w:t>ate board of education</w:t>
      </w:r>
      <w:r w:rsidR="00873BBD" w:rsidRPr="00CC2F62">
        <w:rPr>
          <w:color w:val="auto"/>
        </w:rPr>
        <w:t>.</w:t>
      </w:r>
    </w:p>
    <w:p w14:paraId="63CF44FD" w14:textId="77777777" w:rsidR="00873BBD" w:rsidRPr="00CC2F62" w:rsidRDefault="0063470A" w:rsidP="0063470A">
      <w:pPr>
        <w:pStyle w:val="SectionHeading"/>
        <w:rPr>
          <w:color w:val="auto"/>
        </w:rPr>
        <w:sectPr w:rsidR="00873BBD" w:rsidRPr="00CC2F62" w:rsidSect="006747D0">
          <w:type w:val="continuous"/>
          <w:pgSz w:w="12240" w:h="15840" w:code="1"/>
          <w:pgMar w:top="1440" w:right="1440" w:bottom="1440" w:left="1440" w:header="720" w:footer="720" w:gutter="0"/>
          <w:lnNumType w:countBy="1" w:restart="newSection"/>
          <w:cols w:space="720"/>
          <w:titlePg/>
          <w:docGrid w:linePitch="360"/>
        </w:sectPr>
      </w:pPr>
      <w:r w:rsidRPr="00CC2F62">
        <w:rPr>
          <w:color w:val="auto"/>
        </w:rPr>
        <w:t>§</w:t>
      </w:r>
      <w:r w:rsidR="001F19EF" w:rsidRPr="00CC2F62">
        <w:rPr>
          <w:color w:val="auto"/>
        </w:rPr>
        <w:t>18</w:t>
      </w:r>
      <w:r w:rsidR="00D07449" w:rsidRPr="00CC2F62">
        <w:rPr>
          <w:color w:val="auto"/>
        </w:rPr>
        <w:t>-</w:t>
      </w:r>
      <w:r w:rsidR="001F19EF" w:rsidRPr="00CC2F62">
        <w:rPr>
          <w:color w:val="auto"/>
        </w:rPr>
        <w:t>2</w:t>
      </w:r>
      <w:r w:rsidR="00D07449" w:rsidRPr="00CC2F62">
        <w:rPr>
          <w:color w:val="auto"/>
        </w:rPr>
        <w:t>-</w:t>
      </w:r>
      <w:r w:rsidR="001F19EF" w:rsidRPr="00CC2F62">
        <w:rPr>
          <w:color w:val="auto"/>
        </w:rPr>
        <w:t>25e. Athletic eligibility of transfer students.</w:t>
      </w:r>
    </w:p>
    <w:p w14:paraId="77B44B68" w14:textId="7D1F047F" w:rsidR="001F19EF" w:rsidRPr="00CC2F62" w:rsidRDefault="0063470A" w:rsidP="00873BBD">
      <w:pPr>
        <w:pStyle w:val="SectionBody"/>
        <w:rPr>
          <w:strike/>
          <w:color w:val="auto"/>
        </w:rPr>
      </w:pPr>
      <w:r w:rsidRPr="00CC2F62">
        <w:rPr>
          <w:strike/>
          <w:color w:val="auto"/>
        </w:rPr>
        <w:t>(a)</w:t>
      </w:r>
      <w:r w:rsidR="001F19EF" w:rsidRPr="00CC2F62">
        <w:rPr>
          <w:strike/>
          <w:color w:val="auto"/>
        </w:rPr>
        <w:t xml:space="preserve"> The West Virginia Secondary School Activities Commission shall modify its rule, prior to the 2023-2024 school year, to allow students to transfer schools and retain athletic eligibility at least one time during a student’s four years of secondary school, inclusive of grades nine through 12. The West Virginia Secondary School Activities Commission may promulgate an emergency rule, if necessary, to modify its rule prior to the 2023-2024 school year</w:t>
      </w:r>
    </w:p>
    <w:p w14:paraId="37179121" w14:textId="1EF03427" w:rsidR="001F19EF" w:rsidRPr="00CC2F62" w:rsidRDefault="001F19EF" w:rsidP="001F19EF">
      <w:pPr>
        <w:pStyle w:val="SectionBody"/>
        <w:rPr>
          <w:color w:val="auto"/>
          <w:u w:val="single"/>
        </w:rPr>
      </w:pPr>
      <w:r w:rsidRPr="00CC2F62">
        <w:rPr>
          <w:color w:val="auto"/>
          <w:u w:val="single"/>
        </w:rPr>
        <w:t>(a) If county boards of education or similar governing bodies within private or parochial schools have instigated formal actions to release and accept enrollment of a new student, that student will immediately be granted eligibility</w:t>
      </w:r>
      <w:r w:rsidR="00C00684" w:rsidRPr="00CC2F62">
        <w:rPr>
          <w:color w:val="auto"/>
          <w:u w:val="single"/>
        </w:rPr>
        <w:t xml:space="preserve"> if the following rules are met:</w:t>
      </w:r>
    </w:p>
    <w:p w14:paraId="000D72F2" w14:textId="2A2F78A9" w:rsidR="00C00684" w:rsidRPr="00CC2F62" w:rsidRDefault="00C00684" w:rsidP="001F19EF">
      <w:pPr>
        <w:pStyle w:val="SectionBody"/>
        <w:rPr>
          <w:color w:val="auto"/>
          <w:u w:val="single"/>
        </w:rPr>
      </w:pPr>
      <w:r w:rsidRPr="00CC2F62">
        <w:rPr>
          <w:color w:val="auto"/>
          <w:u w:val="single"/>
        </w:rPr>
        <w:t>(1) The enrollment transfer must occur at the beginning of the ninth-grade academic year on or before the eleventh instructional day and the student-athlete is residing with their parents.</w:t>
      </w:r>
    </w:p>
    <w:p w14:paraId="2640824D" w14:textId="2B913DFA" w:rsidR="00C00684" w:rsidRPr="00CC2F62" w:rsidRDefault="00C00684" w:rsidP="008616E5">
      <w:pPr>
        <w:pStyle w:val="SectionBody"/>
        <w:rPr>
          <w:color w:val="auto"/>
          <w:u w:val="single"/>
        </w:rPr>
      </w:pPr>
      <w:r w:rsidRPr="00CC2F62">
        <w:rPr>
          <w:color w:val="auto"/>
          <w:u w:val="single"/>
        </w:rPr>
        <w:t>(A) If the student's parents reside in an attendance zone containing multiple member schools, the student-athlete must designate a "home school" at the time of enrollment in an out of district school. If the student later elects to "transfer back," the student is only eligible to transfer back to the "home school."</w:t>
      </w:r>
      <w:r w:rsidR="008616E5" w:rsidRPr="00CC2F62">
        <w:rPr>
          <w:color w:val="auto"/>
          <w:u w:val="single"/>
        </w:rPr>
        <w:t xml:space="preserve"> </w:t>
      </w:r>
      <w:r w:rsidRPr="00CC2F62">
        <w:rPr>
          <w:color w:val="auto"/>
          <w:u w:val="single"/>
        </w:rPr>
        <w:t>Once a student has been a member of a team that participated in a scrimmage or contest, the student has established eligibility at that school.</w:t>
      </w:r>
    </w:p>
    <w:p w14:paraId="77BF55E1" w14:textId="0CEB7C83" w:rsidR="00C00684" w:rsidRPr="00CC2F62" w:rsidRDefault="00C00684" w:rsidP="001F19EF">
      <w:pPr>
        <w:pStyle w:val="SectionBody"/>
        <w:rPr>
          <w:color w:val="auto"/>
          <w:u w:val="single"/>
        </w:rPr>
      </w:pPr>
      <w:r w:rsidRPr="00CC2F62">
        <w:rPr>
          <w:color w:val="auto"/>
          <w:u w:val="single"/>
        </w:rPr>
        <w:t>(2) During the ninth, tenth, eleventh, and twelfth-grades, a student shall be entitled to one transfer back from a school located outside the attendance zone where the student's parents reside into the member school located within the attendance zone where the student's parents reside. This school must be the "home school" identified in the initial enrollment in the out of district school.</w:t>
      </w:r>
    </w:p>
    <w:p w14:paraId="41146E7A" w14:textId="6F1C7395" w:rsidR="00C00684" w:rsidRPr="00CC2F62" w:rsidRDefault="00C00684" w:rsidP="001F19EF">
      <w:pPr>
        <w:pStyle w:val="SectionBody"/>
        <w:rPr>
          <w:color w:val="auto"/>
          <w:u w:val="single"/>
        </w:rPr>
      </w:pPr>
      <w:r w:rsidRPr="00CC2F62">
        <w:rPr>
          <w:color w:val="auto"/>
          <w:u w:val="single"/>
        </w:rPr>
        <w:t xml:space="preserve">(3) Any student transferring under the provisions of this rule </w:t>
      </w:r>
      <w:r w:rsidR="008616E5" w:rsidRPr="00CC2F62">
        <w:rPr>
          <w:color w:val="auto"/>
          <w:u w:val="single"/>
        </w:rPr>
        <w:t xml:space="preserve">will not become eligible until the completion of the academic year in which the transfer occurs. </w:t>
      </w:r>
    </w:p>
    <w:p w14:paraId="111A291B" w14:textId="007BF6CB" w:rsidR="008616E5" w:rsidRPr="00CC2F62" w:rsidRDefault="008616E5" w:rsidP="008616E5">
      <w:pPr>
        <w:pStyle w:val="SectionBody"/>
        <w:rPr>
          <w:color w:val="auto"/>
          <w:u w:val="single"/>
        </w:rPr>
      </w:pPr>
      <w:r w:rsidRPr="00CC2F62">
        <w:rPr>
          <w:color w:val="auto"/>
          <w:u w:val="single"/>
        </w:rPr>
        <w:t>(4) Eligibility will begin with the succeeding fall sports season or, if the transfer is completed on or before the eleventh instructional day of the beginning of the academic year, it will begin immediately. Once a student has been a member of a team that has participated in a scrimmage or contest, the student has established eligibility at that school.</w:t>
      </w:r>
    </w:p>
    <w:p w14:paraId="2EB77581" w14:textId="62DAED43" w:rsidR="008616E5" w:rsidRPr="00CC2F62" w:rsidRDefault="008616E5" w:rsidP="008616E5">
      <w:pPr>
        <w:pStyle w:val="SectionBody"/>
        <w:rPr>
          <w:color w:val="auto"/>
          <w:u w:val="single"/>
        </w:rPr>
      </w:pPr>
      <w:r w:rsidRPr="00CC2F62">
        <w:rPr>
          <w:color w:val="auto"/>
          <w:u w:val="single"/>
        </w:rPr>
        <w:t>(5) Notwithstanding any provision in this code to the contrary, this rule shall override any previous rule regarding the transfer and eligibility of high school athletes in West Virginia.</w:t>
      </w:r>
    </w:p>
    <w:p w14:paraId="03CD04AD" w14:textId="771C68BC" w:rsidR="008616E5" w:rsidRPr="00CC2F62" w:rsidRDefault="008616E5" w:rsidP="008616E5">
      <w:pPr>
        <w:pStyle w:val="SectionBody"/>
        <w:rPr>
          <w:color w:val="auto"/>
          <w:u w:val="single"/>
        </w:rPr>
      </w:pPr>
      <w:r w:rsidRPr="00CC2F62">
        <w:rPr>
          <w:color w:val="auto"/>
          <w:u w:val="single"/>
        </w:rPr>
        <w:t>(6) Only the West Virginia Secondary School Activities Commission and its board of directors shall have the ability to change or modify this eligibility requirement as necessary.</w:t>
      </w:r>
    </w:p>
    <w:p w14:paraId="5ABDC1BA" w14:textId="77777777" w:rsidR="001F19EF" w:rsidRPr="00CC2F62" w:rsidRDefault="001F19EF" w:rsidP="001F19EF">
      <w:pPr>
        <w:pStyle w:val="SectionBody"/>
        <w:rPr>
          <w:color w:val="auto"/>
        </w:rPr>
      </w:pPr>
      <w:r w:rsidRPr="00CC2F62">
        <w:rPr>
          <w:color w:val="auto"/>
        </w:rPr>
        <w:t>(b) Nothing in this section is intended to limit or restrict a student transferring more than one time for the following reasons:</w:t>
      </w:r>
    </w:p>
    <w:p w14:paraId="3CBDDA9B" w14:textId="77777777" w:rsidR="001F19EF" w:rsidRPr="00CC2F62" w:rsidRDefault="001F19EF" w:rsidP="001F19EF">
      <w:pPr>
        <w:pStyle w:val="SectionBody"/>
        <w:rPr>
          <w:color w:val="auto"/>
        </w:rPr>
      </w:pPr>
      <w:r w:rsidRPr="00CC2F62">
        <w:rPr>
          <w:color w:val="auto"/>
        </w:rPr>
        <w:t>(1) The West Virginia Secondary School Activities Commission’s ability to make eligibility determinations on a case-by-case basis when warranted by a student’s circumstances in accordance with the West Virginia Secondary School Activities Commission’s rules; or</w:t>
      </w:r>
    </w:p>
    <w:p w14:paraId="48B66356" w14:textId="4A46AB50" w:rsidR="00C33014" w:rsidRPr="00CC2F62" w:rsidRDefault="001F19EF" w:rsidP="001F19EF">
      <w:pPr>
        <w:pStyle w:val="SectionBody"/>
        <w:rPr>
          <w:color w:val="auto"/>
        </w:rPr>
      </w:pPr>
      <w:r w:rsidRPr="00CC2F62">
        <w:rPr>
          <w:color w:val="auto"/>
        </w:rPr>
        <w:t xml:space="preserve">(2) For any other reason permitted under the rules of the West Virginia Secondary School Activities </w:t>
      </w:r>
      <w:r w:rsidR="008616E5" w:rsidRPr="00CC2F62">
        <w:rPr>
          <w:color w:val="auto"/>
        </w:rPr>
        <w:t>Commission.</w:t>
      </w:r>
    </w:p>
    <w:p w14:paraId="180DB210" w14:textId="68A22261" w:rsidR="006865E9" w:rsidRPr="00CC2F62" w:rsidRDefault="00CF1DCA" w:rsidP="00CC1F3B">
      <w:pPr>
        <w:pStyle w:val="Note"/>
        <w:rPr>
          <w:color w:val="auto"/>
        </w:rPr>
      </w:pPr>
      <w:r w:rsidRPr="00CC2F62">
        <w:rPr>
          <w:color w:val="auto"/>
        </w:rPr>
        <w:t>NOTE: The</w:t>
      </w:r>
      <w:r w:rsidR="006865E9" w:rsidRPr="00CC2F62">
        <w:rPr>
          <w:color w:val="auto"/>
        </w:rPr>
        <w:t xml:space="preserve"> purpose of this bill is t</w:t>
      </w:r>
      <w:r w:rsidR="00102AB1" w:rsidRPr="00CC2F62">
        <w:rPr>
          <w:color w:val="auto"/>
        </w:rPr>
        <w:t xml:space="preserve">o </w:t>
      </w:r>
      <w:r w:rsidR="008616E5" w:rsidRPr="00CC2F62">
        <w:rPr>
          <w:color w:val="auto"/>
        </w:rPr>
        <w:t>remove the one-time free transfer for high school student-athletes and to create a new system for transferring high school student-athletes in general.</w:t>
      </w:r>
    </w:p>
    <w:p w14:paraId="6074BECA" w14:textId="77777777" w:rsidR="006865E9" w:rsidRPr="00CC2F62" w:rsidRDefault="00AE48A0" w:rsidP="00CC1F3B">
      <w:pPr>
        <w:pStyle w:val="Note"/>
        <w:rPr>
          <w:color w:val="auto"/>
        </w:rPr>
      </w:pPr>
      <w:r w:rsidRPr="00CC2F62">
        <w:rPr>
          <w:color w:val="auto"/>
        </w:rPr>
        <w:t>Strike-throughs indicate language that would be stricken from a heading or the present law and underscoring indicates new language that would be added.</w:t>
      </w:r>
    </w:p>
    <w:sectPr w:rsidR="006865E9" w:rsidRPr="00CC2F62" w:rsidSect="006747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CCE9" w14:textId="77777777" w:rsidR="00527739" w:rsidRPr="00B844FE" w:rsidRDefault="00527739" w:rsidP="00B844FE">
      <w:r>
        <w:separator/>
      </w:r>
    </w:p>
  </w:endnote>
  <w:endnote w:type="continuationSeparator" w:id="0">
    <w:p w14:paraId="207592E1" w14:textId="77777777" w:rsidR="00527739" w:rsidRPr="00B844FE" w:rsidRDefault="00527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441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B9F0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B294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5545" w14:textId="77777777" w:rsidR="00527739" w:rsidRPr="00B844FE" w:rsidRDefault="00527739" w:rsidP="00B844FE">
      <w:r>
        <w:separator/>
      </w:r>
    </w:p>
  </w:footnote>
  <w:footnote w:type="continuationSeparator" w:id="0">
    <w:p w14:paraId="156B456E" w14:textId="77777777" w:rsidR="00527739" w:rsidRPr="00B844FE" w:rsidRDefault="00527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7371" w14:textId="77777777" w:rsidR="002A0269" w:rsidRPr="00B844FE" w:rsidRDefault="0099342A">
    <w:pPr>
      <w:pStyle w:val="Header"/>
    </w:pPr>
    <w:sdt>
      <w:sdtPr>
        <w:id w:val="-684364211"/>
        <w:placeholder>
          <w:docPart w:val="E5D264EB6EC240F8BDF9B16ED951C0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D264EB6EC240F8BDF9B16ED951C0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C1CE" w14:textId="47698790" w:rsidR="00C33014" w:rsidRPr="0008119A" w:rsidRDefault="00AE48A0" w:rsidP="0008119A">
    <w:pPr>
      <w:pStyle w:val="HeaderStyle"/>
    </w:pPr>
    <w:r w:rsidRPr="0008119A">
      <w:t>I</w:t>
    </w:r>
    <w:r w:rsidR="001A66B7" w:rsidRPr="0008119A">
      <w:t xml:space="preserve">ntr </w:t>
    </w:r>
    <w:sdt>
      <w:sdtPr>
        <w:tag w:val="BNumWH"/>
        <w:id w:val="138549797"/>
        <w:showingPlcHdr/>
        <w:text/>
      </w:sdtPr>
      <w:sdtEndPr/>
      <w:sdtContent/>
    </w:sdt>
    <w:r w:rsidR="00D627A5">
      <w:t>H</w:t>
    </w:r>
    <w:r w:rsidR="0008119A" w:rsidRPr="0008119A">
      <w:t>B</w:t>
    </w:r>
    <w:r w:rsidR="00C33014" w:rsidRPr="0008119A">
      <w:ptab w:relativeTo="margin" w:alignment="center" w:leader="none"/>
    </w:r>
    <w:r w:rsidR="00C33014" w:rsidRPr="0008119A">
      <w:tab/>
    </w:r>
    <w:sdt>
      <w:sdtPr>
        <w:alias w:val="CBD Number"/>
        <w:tag w:val="CBD Number"/>
        <w:id w:val="1176923086"/>
        <w:lock w:val="sdtLocked"/>
        <w:text/>
      </w:sdtPr>
      <w:sdtEndPr/>
      <w:sdtContent>
        <w:r w:rsidR="0008119A" w:rsidRPr="0008119A">
          <w:t>2024R</w:t>
        </w:r>
        <w:r w:rsidR="00D627A5">
          <w:t>1</w:t>
        </w:r>
        <w:r w:rsidR="00D07449">
          <w:t>857</w:t>
        </w:r>
      </w:sdtContent>
    </w:sdt>
  </w:p>
  <w:p w14:paraId="3B22F3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21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0"/>
    <w:rsid w:val="0000526A"/>
    <w:rsid w:val="000364E6"/>
    <w:rsid w:val="000573A9"/>
    <w:rsid w:val="0008119A"/>
    <w:rsid w:val="00085D22"/>
    <w:rsid w:val="00090BF7"/>
    <w:rsid w:val="00093AB0"/>
    <w:rsid w:val="000C5C77"/>
    <w:rsid w:val="000E3912"/>
    <w:rsid w:val="0010070F"/>
    <w:rsid w:val="00102AB1"/>
    <w:rsid w:val="00105B8B"/>
    <w:rsid w:val="0015112E"/>
    <w:rsid w:val="001552E7"/>
    <w:rsid w:val="001566B4"/>
    <w:rsid w:val="001A66B7"/>
    <w:rsid w:val="001C279E"/>
    <w:rsid w:val="001D459E"/>
    <w:rsid w:val="001F19EF"/>
    <w:rsid w:val="00203E03"/>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6B04"/>
    <w:rsid w:val="00500579"/>
    <w:rsid w:val="00527739"/>
    <w:rsid w:val="005A5366"/>
    <w:rsid w:val="0063470A"/>
    <w:rsid w:val="006369EB"/>
    <w:rsid w:val="00637E73"/>
    <w:rsid w:val="006717A2"/>
    <w:rsid w:val="006747D0"/>
    <w:rsid w:val="006865E9"/>
    <w:rsid w:val="00686E9A"/>
    <w:rsid w:val="00691F3E"/>
    <w:rsid w:val="00694BFB"/>
    <w:rsid w:val="006A106B"/>
    <w:rsid w:val="006C523D"/>
    <w:rsid w:val="006D4036"/>
    <w:rsid w:val="006D7595"/>
    <w:rsid w:val="00775416"/>
    <w:rsid w:val="00790C6F"/>
    <w:rsid w:val="007A5259"/>
    <w:rsid w:val="007A7081"/>
    <w:rsid w:val="007F1CF5"/>
    <w:rsid w:val="00834EDE"/>
    <w:rsid w:val="008616E5"/>
    <w:rsid w:val="008709CA"/>
    <w:rsid w:val="008736AA"/>
    <w:rsid w:val="00873BBD"/>
    <w:rsid w:val="008829D4"/>
    <w:rsid w:val="008C13E1"/>
    <w:rsid w:val="008D275D"/>
    <w:rsid w:val="00946186"/>
    <w:rsid w:val="00980327"/>
    <w:rsid w:val="00986478"/>
    <w:rsid w:val="0099342A"/>
    <w:rsid w:val="009B5557"/>
    <w:rsid w:val="009F1067"/>
    <w:rsid w:val="00A31E01"/>
    <w:rsid w:val="00A527AD"/>
    <w:rsid w:val="00A718CF"/>
    <w:rsid w:val="00AC5ED1"/>
    <w:rsid w:val="00AE48A0"/>
    <w:rsid w:val="00AE61BE"/>
    <w:rsid w:val="00B16F25"/>
    <w:rsid w:val="00B24422"/>
    <w:rsid w:val="00B27BA0"/>
    <w:rsid w:val="00B66B81"/>
    <w:rsid w:val="00B71E6F"/>
    <w:rsid w:val="00B80C20"/>
    <w:rsid w:val="00B844FE"/>
    <w:rsid w:val="00B86B4F"/>
    <w:rsid w:val="00BA1F84"/>
    <w:rsid w:val="00BC562B"/>
    <w:rsid w:val="00C00684"/>
    <w:rsid w:val="00C24E6B"/>
    <w:rsid w:val="00C33014"/>
    <w:rsid w:val="00C33434"/>
    <w:rsid w:val="00C34869"/>
    <w:rsid w:val="00C42EB6"/>
    <w:rsid w:val="00C62327"/>
    <w:rsid w:val="00C85096"/>
    <w:rsid w:val="00CB20EF"/>
    <w:rsid w:val="00CC1F3B"/>
    <w:rsid w:val="00CC2F62"/>
    <w:rsid w:val="00CD12CB"/>
    <w:rsid w:val="00CD36CF"/>
    <w:rsid w:val="00CE58F4"/>
    <w:rsid w:val="00CF1DCA"/>
    <w:rsid w:val="00D07449"/>
    <w:rsid w:val="00D579FC"/>
    <w:rsid w:val="00D627A5"/>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A5D"/>
  <w15:chartTrackingRefBased/>
  <w15:docId w15:val="{8B6C9DD4-4480-4282-BEA5-E1855DFC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747D0"/>
    <w:rPr>
      <w:rFonts w:eastAsia="Calibri"/>
      <w:color w:val="000000"/>
    </w:rPr>
  </w:style>
  <w:style w:type="character" w:customStyle="1" w:styleId="SectionHeadingChar">
    <w:name w:val="Section Heading Char"/>
    <w:link w:val="SectionHeading"/>
    <w:rsid w:val="006747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A1DCD68F343F282AF96E1AA88AAE6"/>
        <w:category>
          <w:name w:val="General"/>
          <w:gallery w:val="placeholder"/>
        </w:category>
        <w:types>
          <w:type w:val="bbPlcHdr"/>
        </w:types>
        <w:behaviors>
          <w:behavior w:val="content"/>
        </w:behaviors>
        <w:guid w:val="{083B2E39-A670-4EF7-92B3-4AF77519A050}"/>
      </w:docPartPr>
      <w:docPartBody>
        <w:p w:rsidR="00AD49CC" w:rsidRDefault="00DB050F">
          <w:pPr>
            <w:pStyle w:val="C6AA1DCD68F343F282AF96E1AA88AAE6"/>
          </w:pPr>
          <w:r w:rsidRPr="00B844FE">
            <w:t>Prefix Text</w:t>
          </w:r>
        </w:p>
      </w:docPartBody>
    </w:docPart>
    <w:docPart>
      <w:docPartPr>
        <w:name w:val="E5D264EB6EC240F8BDF9B16ED951C0BA"/>
        <w:category>
          <w:name w:val="General"/>
          <w:gallery w:val="placeholder"/>
        </w:category>
        <w:types>
          <w:type w:val="bbPlcHdr"/>
        </w:types>
        <w:behaviors>
          <w:behavior w:val="content"/>
        </w:behaviors>
        <w:guid w:val="{EF280DE6-450A-4BB3-9EE0-A3CDAE7060B1}"/>
      </w:docPartPr>
      <w:docPartBody>
        <w:p w:rsidR="00AD49CC" w:rsidRDefault="00DB050F">
          <w:pPr>
            <w:pStyle w:val="E5D264EB6EC240F8BDF9B16ED951C0BA"/>
          </w:pPr>
          <w:r w:rsidRPr="00B844FE">
            <w:t>[Type here]</w:t>
          </w:r>
        </w:p>
      </w:docPartBody>
    </w:docPart>
    <w:docPart>
      <w:docPartPr>
        <w:name w:val="E27F8D2CDFD74889A16FDC2083EC19FE"/>
        <w:category>
          <w:name w:val="General"/>
          <w:gallery w:val="placeholder"/>
        </w:category>
        <w:types>
          <w:type w:val="bbPlcHdr"/>
        </w:types>
        <w:behaviors>
          <w:behavior w:val="content"/>
        </w:behaviors>
        <w:guid w:val="{7E32529B-EC57-4719-B005-6CAA9AF5515C}"/>
      </w:docPartPr>
      <w:docPartBody>
        <w:p w:rsidR="00AD49CC" w:rsidRDefault="00DB050F">
          <w:pPr>
            <w:pStyle w:val="E27F8D2CDFD74889A16FDC2083EC19FE"/>
          </w:pPr>
          <w:r w:rsidRPr="00B844FE">
            <w:t>Number</w:t>
          </w:r>
        </w:p>
      </w:docPartBody>
    </w:docPart>
    <w:docPart>
      <w:docPartPr>
        <w:name w:val="4BA9F2A412FF4D878743E9EE8B91B540"/>
        <w:category>
          <w:name w:val="General"/>
          <w:gallery w:val="placeholder"/>
        </w:category>
        <w:types>
          <w:type w:val="bbPlcHdr"/>
        </w:types>
        <w:behaviors>
          <w:behavior w:val="content"/>
        </w:behaviors>
        <w:guid w:val="{7E171A75-E166-4570-A4F6-9A784E4A8EBE}"/>
      </w:docPartPr>
      <w:docPartBody>
        <w:p w:rsidR="00AD49CC" w:rsidRDefault="00DB050F">
          <w:pPr>
            <w:pStyle w:val="4BA9F2A412FF4D878743E9EE8B91B540"/>
          </w:pPr>
          <w:r w:rsidRPr="00B844FE">
            <w:t>Enter Sponsors Here</w:t>
          </w:r>
        </w:p>
      </w:docPartBody>
    </w:docPart>
    <w:docPart>
      <w:docPartPr>
        <w:name w:val="11D49B69F2B2483F887654068A05B5B9"/>
        <w:category>
          <w:name w:val="General"/>
          <w:gallery w:val="placeholder"/>
        </w:category>
        <w:types>
          <w:type w:val="bbPlcHdr"/>
        </w:types>
        <w:behaviors>
          <w:behavior w:val="content"/>
        </w:behaviors>
        <w:guid w:val="{5AD8A456-144A-4B92-84FF-0186019307E2}"/>
      </w:docPartPr>
      <w:docPartBody>
        <w:p w:rsidR="00AD49CC" w:rsidRDefault="00DB050F">
          <w:pPr>
            <w:pStyle w:val="11D49B69F2B2483F887654068A05B5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5"/>
    <w:rsid w:val="00114115"/>
    <w:rsid w:val="00305EAB"/>
    <w:rsid w:val="007B0928"/>
    <w:rsid w:val="008F166B"/>
    <w:rsid w:val="00AD49CC"/>
    <w:rsid w:val="00DB050F"/>
    <w:rsid w:val="00EC0FC1"/>
    <w:rsid w:val="00FE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AA1DCD68F343F282AF96E1AA88AAE6">
    <w:name w:val="C6AA1DCD68F343F282AF96E1AA88AAE6"/>
  </w:style>
  <w:style w:type="paragraph" w:customStyle="1" w:styleId="E5D264EB6EC240F8BDF9B16ED951C0BA">
    <w:name w:val="E5D264EB6EC240F8BDF9B16ED951C0BA"/>
  </w:style>
  <w:style w:type="paragraph" w:customStyle="1" w:styleId="E27F8D2CDFD74889A16FDC2083EC19FE">
    <w:name w:val="E27F8D2CDFD74889A16FDC2083EC19FE"/>
  </w:style>
  <w:style w:type="paragraph" w:customStyle="1" w:styleId="4BA9F2A412FF4D878743E9EE8B91B540">
    <w:name w:val="4BA9F2A412FF4D878743E9EE8B91B540"/>
  </w:style>
  <w:style w:type="character" w:styleId="PlaceholderText">
    <w:name w:val="Placeholder Text"/>
    <w:basedOn w:val="DefaultParagraphFont"/>
    <w:uiPriority w:val="99"/>
    <w:semiHidden/>
    <w:rPr>
      <w:color w:val="808080"/>
    </w:rPr>
  </w:style>
  <w:style w:type="paragraph" w:customStyle="1" w:styleId="11D49B69F2B2483F887654068A05B5B9">
    <w:name w:val="11D49B69F2B2483F887654068A05B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2024-01-27T21:22:00Z</dcterms:created>
  <dcterms:modified xsi:type="dcterms:W3CDTF">2024-01-27T21:22:00Z</dcterms:modified>
</cp:coreProperties>
</file>