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754D7" w14:textId="77777777" w:rsidR="00FE067E" w:rsidRPr="001679FF" w:rsidRDefault="003C6034" w:rsidP="00CC1F3B">
      <w:pPr>
        <w:pStyle w:val="TitlePageOrigin"/>
        <w:rPr>
          <w:color w:val="auto"/>
        </w:rPr>
      </w:pPr>
      <w:r w:rsidRPr="001679FF">
        <w:rPr>
          <w:caps w:val="0"/>
          <w:color w:val="auto"/>
        </w:rPr>
        <w:t>WEST VIRGINIA LEGISLATURE</w:t>
      </w:r>
    </w:p>
    <w:p w14:paraId="180E8A2F" w14:textId="77777777" w:rsidR="00CD36CF" w:rsidRPr="001679FF" w:rsidRDefault="00CD36CF" w:rsidP="00CC1F3B">
      <w:pPr>
        <w:pStyle w:val="TitlePageSession"/>
        <w:rPr>
          <w:color w:val="auto"/>
        </w:rPr>
      </w:pPr>
      <w:r w:rsidRPr="001679FF">
        <w:rPr>
          <w:color w:val="auto"/>
        </w:rPr>
        <w:t>20</w:t>
      </w:r>
      <w:r w:rsidR="00EC5E63" w:rsidRPr="001679FF">
        <w:rPr>
          <w:color w:val="auto"/>
        </w:rPr>
        <w:t>2</w:t>
      </w:r>
      <w:r w:rsidR="00C62327" w:rsidRPr="001679FF">
        <w:rPr>
          <w:color w:val="auto"/>
        </w:rPr>
        <w:t>4</w:t>
      </w:r>
      <w:r w:rsidRPr="001679FF">
        <w:rPr>
          <w:color w:val="auto"/>
        </w:rPr>
        <w:t xml:space="preserve"> </w:t>
      </w:r>
      <w:r w:rsidR="003C6034" w:rsidRPr="001679FF">
        <w:rPr>
          <w:caps w:val="0"/>
          <w:color w:val="auto"/>
        </w:rPr>
        <w:t>REGULAR SESSION</w:t>
      </w:r>
    </w:p>
    <w:p w14:paraId="00D7EAE5" w14:textId="77777777" w:rsidR="00CD36CF" w:rsidRPr="001679FF" w:rsidRDefault="00BB3A69" w:rsidP="00CC1F3B">
      <w:pPr>
        <w:pStyle w:val="TitlePageBillPrefix"/>
        <w:rPr>
          <w:color w:val="auto"/>
        </w:rPr>
      </w:pPr>
      <w:sdt>
        <w:sdtPr>
          <w:rPr>
            <w:color w:val="auto"/>
          </w:rPr>
          <w:tag w:val="IntroDate"/>
          <w:id w:val="-1236936958"/>
          <w:placeholder>
            <w:docPart w:val="829F605AEF7A4F2096DD61EEF6DFE99E"/>
          </w:placeholder>
          <w:text/>
        </w:sdtPr>
        <w:sdtEndPr/>
        <w:sdtContent>
          <w:r w:rsidR="00AE48A0" w:rsidRPr="001679FF">
            <w:rPr>
              <w:color w:val="auto"/>
            </w:rPr>
            <w:t>Introduced</w:t>
          </w:r>
        </w:sdtContent>
      </w:sdt>
    </w:p>
    <w:p w14:paraId="765B010B" w14:textId="3D0C7E39" w:rsidR="00CD36CF" w:rsidRPr="001679FF" w:rsidRDefault="00BB3A69" w:rsidP="00CC1F3B">
      <w:pPr>
        <w:pStyle w:val="BillNumber"/>
        <w:rPr>
          <w:color w:val="auto"/>
        </w:rPr>
      </w:pPr>
      <w:sdt>
        <w:sdtPr>
          <w:rPr>
            <w:color w:val="auto"/>
          </w:rPr>
          <w:tag w:val="Chamber"/>
          <w:id w:val="893011969"/>
          <w:lock w:val="sdtLocked"/>
          <w:placeholder>
            <w:docPart w:val="5E5EDABB0E254F388AC86D3DCCE3EB80"/>
          </w:placeholder>
          <w:dropDownList>
            <w:listItem w:displayText="House" w:value="House"/>
            <w:listItem w:displayText="Senate" w:value="Senate"/>
          </w:dropDownList>
        </w:sdtPr>
        <w:sdtEndPr/>
        <w:sdtContent>
          <w:r w:rsidR="006D21F9" w:rsidRPr="001679FF">
            <w:rPr>
              <w:color w:val="auto"/>
            </w:rPr>
            <w:t>Senate</w:t>
          </w:r>
        </w:sdtContent>
      </w:sdt>
      <w:r w:rsidR="00303684" w:rsidRPr="001679FF">
        <w:rPr>
          <w:color w:val="auto"/>
        </w:rPr>
        <w:t xml:space="preserve"> </w:t>
      </w:r>
      <w:r w:rsidR="00CD36CF" w:rsidRPr="001679FF">
        <w:rPr>
          <w:color w:val="auto"/>
        </w:rPr>
        <w:t xml:space="preserve">Bill </w:t>
      </w:r>
      <w:sdt>
        <w:sdtPr>
          <w:rPr>
            <w:color w:val="auto"/>
          </w:rPr>
          <w:tag w:val="BNum"/>
          <w:id w:val="1645317809"/>
          <w:lock w:val="sdtLocked"/>
          <w:placeholder>
            <w:docPart w:val="3CBC12FCCD2B4729A2C3D808F45B8620"/>
          </w:placeholder>
          <w:text/>
        </w:sdtPr>
        <w:sdtEndPr/>
        <w:sdtContent>
          <w:r w:rsidR="0048701E">
            <w:rPr>
              <w:color w:val="auto"/>
            </w:rPr>
            <w:t>296</w:t>
          </w:r>
        </w:sdtContent>
      </w:sdt>
    </w:p>
    <w:p w14:paraId="1C44097F" w14:textId="099D2EAE" w:rsidR="00CD36CF" w:rsidRPr="001679FF" w:rsidRDefault="00CD36CF" w:rsidP="00CC1F3B">
      <w:pPr>
        <w:pStyle w:val="Sponsors"/>
        <w:rPr>
          <w:color w:val="auto"/>
        </w:rPr>
      </w:pPr>
      <w:r w:rsidRPr="001679FF">
        <w:rPr>
          <w:color w:val="auto"/>
        </w:rPr>
        <w:t xml:space="preserve">By </w:t>
      </w:r>
      <w:sdt>
        <w:sdtPr>
          <w:rPr>
            <w:color w:val="auto"/>
          </w:rPr>
          <w:tag w:val="Sponsors"/>
          <w:id w:val="1589585889"/>
          <w:placeholder>
            <w:docPart w:val="C8F70BD3800A4C848A0BF31A03A116EA"/>
          </w:placeholder>
          <w:text w:multiLine="1"/>
        </w:sdtPr>
        <w:sdtEndPr/>
        <w:sdtContent>
          <w:r w:rsidR="0040223A" w:rsidRPr="001679FF">
            <w:rPr>
              <w:color w:val="auto"/>
            </w:rPr>
            <w:t>Senator</w:t>
          </w:r>
          <w:r w:rsidR="00BB3A69">
            <w:rPr>
              <w:color w:val="auto"/>
            </w:rPr>
            <w:t>s</w:t>
          </w:r>
          <w:r w:rsidR="0040223A" w:rsidRPr="001679FF">
            <w:rPr>
              <w:color w:val="auto"/>
            </w:rPr>
            <w:t xml:space="preserve"> Tarr</w:t>
          </w:r>
          <w:r w:rsidR="00BB3A69">
            <w:rPr>
              <w:color w:val="auto"/>
            </w:rPr>
            <w:t xml:space="preserve"> and Stuart</w:t>
          </w:r>
        </w:sdtContent>
      </w:sdt>
    </w:p>
    <w:p w14:paraId="792D0DF2" w14:textId="764746A4" w:rsidR="00E831B3" w:rsidRPr="001679FF" w:rsidRDefault="00CD36CF" w:rsidP="00CC1F3B">
      <w:pPr>
        <w:pStyle w:val="References"/>
        <w:rPr>
          <w:color w:val="auto"/>
        </w:rPr>
      </w:pPr>
      <w:r w:rsidRPr="001679FF">
        <w:rPr>
          <w:color w:val="auto"/>
        </w:rPr>
        <w:t>[</w:t>
      </w:r>
      <w:sdt>
        <w:sdtPr>
          <w:rPr>
            <w:color w:val="auto"/>
          </w:rPr>
          <w:tag w:val="References"/>
          <w:id w:val="-1043047873"/>
          <w:placeholder>
            <w:docPart w:val="3A76A94DC6394002A68B673465DCA4C7"/>
          </w:placeholder>
          <w:text w:multiLine="1"/>
        </w:sdtPr>
        <w:sdtEndPr/>
        <w:sdtContent>
          <w:r w:rsidR="00093AB0" w:rsidRPr="001679FF">
            <w:rPr>
              <w:color w:val="auto"/>
            </w:rPr>
            <w:t xml:space="preserve">Introduced </w:t>
          </w:r>
          <w:r w:rsidR="0048701E">
            <w:rPr>
              <w:color w:val="auto"/>
            </w:rPr>
            <w:t>January 11, 2024</w:t>
          </w:r>
          <w:r w:rsidR="00093AB0" w:rsidRPr="001679FF">
            <w:rPr>
              <w:color w:val="auto"/>
            </w:rPr>
            <w:t>; referred</w:t>
          </w:r>
          <w:r w:rsidR="00093AB0" w:rsidRPr="001679FF">
            <w:rPr>
              <w:color w:val="auto"/>
            </w:rPr>
            <w:br/>
            <w:t xml:space="preserve">to the Committee on the </w:t>
          </w:r>
          <w:r w:rsidR="00F31E73">
            <w:rPr>
              <w:color w:val="auto"/>
            </w:rPr>
            <w:t>Health and Human Resources</w:t>
          </w:r>
        </w:sdtContent>
      </w:sdt>
      <w:r w:rsidRPr="001679FF">
        <w:rPr>
          <w:color w:val="auto"/>
        </w:rPr>
        <w:t>]</w:t>
      </w:r>
    </w:p>
    <w:p w14:paraId="507D01B0" w14:textId="5594F258" w:rsidR="00303684" w:rsidRPr="001679FF" w:rsidRDefault="0000526A" w:rsidP="00CC1F3B">
      <w:pPr>
        <w:pStyle w:val="TitleSection"/>
        <w:rPr>
          <w:color w:val="auto"/>
        </w:rPr>
      </w:pPr>
      <w:r w:rsidRPr="001679FF">
        <w:rPr>
          <w:color w:val="auto"/>
        </w:rPr>
        <w:lastRenderedPageBreak/>
        <w:t>A BILL</w:t>
      </w:r>
      <w:r w:rsidR="0040223A" w:rsidRPr="001679FF">
        <w:rPr>
          <w:color w:val="auto"/>
        </w:rPr>
        <w:t xml:space="preserve"> to repeal </w:t>
      </w:r>
      <w:r w:rsidR="0040223A" w:rsidRPr="001679FF">
        <w:rPr>
          <w:rFonts w:cs="Arial"/>
          <w:bCs/>
          <w:color w:val="auto"/>
        </w:rPr>
        <w:t xml:space="preserve">§16-64-1, </w:t>
      </w:r>
      <w:bookmarkStart w:id="0" w:name="_Hlk152151221"/>
      <w:r w:rsidR="0040223A" w:rsidRPr="001679FF">
        <w:rPr>
          <w:rFonts w:cs="Arial"/>
          <w:bCs/>
          <w:color w:val="auto"/>
        </w:rPr>
        <w:t xml:space="preserve">§16-64-2, </w:t>
      </w:r>
      <w:bookmarkEnd w:id="0"/>
      <w:r w:rsidR="0040223A" w:rsidRPr="001679FF">
        <w:rPr>
          <w:rFonts w:cs="Arial"/>
          <w:bCs/>
          <w:color w:val="auto"/>
        </w:rPr>
        <w:t>§16-64-3, §16-64-4,</w:t>
      </w:r>
      <w:r w:rsidR="0040223A" w:rsidRPr="001679FF">
        <w:rPr>
          <w:color w:val="auto"/>
        </w:rPr>
        <w:t xml:space="preserve"> </w:t>
      </w:r>
      <w:r w:rsidR="0040223A" w:rsidRPr="001679FF">
        <w:rPr>
          <w:rFonts w:cs="Arial"/>
          <w:bCs/>
          <w:color w:val="auto"/>
        </w:rPr>
        <w:t xml:space="preserve">§16-64-5, §16-64-6, §16-64-7, §16-64-8, §16-64-9, and §16-64-10 of the Code of West Virginia, </w:t>
      </w:r>
      <w:r w:rsidR="0048701E">
        <w:rPr>
          <w:rFonts w:cs="Arial"/>
          <w:bCs/>
          <w:color w:val="auto"/>
        </w:rPr>
        <w:t xml:space="preserve">1931, </w:t>
      </w:r>
      <w:r w:rsidR="0040223A" w:rsidRPr="001679FF">
        <w:rPr>
          <w:rFonts w:cs="Arial"/>
          <w:bCs/>
          <w:color w:val="auto"/>
        </w:rPr>
        <w:t xml:space="preserve">as amended; </w:t>
      </w:r>
      <w:r w:rsidR="0048701E">
        <w:rPr>
          <w:rFonts w:cs="Arial"/>
          <w:bCs/>
          <w:color w:val="auto"/>
        </w:rPr>
        <w:t xml:space="preserve">and </w:t>
      </w:r>
      <w:r w:rsidR="0040223A" w:rsidRPr="001679FF">
        <w:rPr>
          <w:rFonts w:cs="Arial"/>
          <w:bCs/>
          <w:color w:val="auto"/>
        </w:rPr>
        <w:t>to amend said code by adding thereto a new article, designated §16-64A-1, §16-64A-2, §16-64A-3, and §16-64A-4</w:t>
      </w:r>
      <w:r w:rsidR="0048701E">
        <w:rPr>
          <w:rFonts w:cs="Arial"/>
          <w:bCs/>
          <w:color w:val="auto"/>
        </w:rPr>
        <w:t>,</w:t>
      </w:r>
      <w:r w:rsidR="0040223A" w:rsidRPr="001679FF">
        <w:rPr>
          <w:rFonts w:cs="Arial"/>
          <w:bCs/>
          <w:color w:val="auto"/>
        </w:rPr>
        <w:t xml:space="preserve"> all relating to syringe exchange services programs; defining terms; making syringe exchange service programs unlawful; setting date for closure of existing programs; permitting harm reduction services to continue to operate provided no syringe services are provided; allowing for an administrative time</w:t>
      </w:r>
      <w:r w:rsidR="006E2019">
        <w:rPr>
          <w:rFonts w:cs="Arial"/>
          <w:bCs/>
          <w:color w:val="auto"/>
        </w:rPr>
        <w:t xml:space="preserve"> </w:t>
      </w:r>
      <w:r w:rsidR="0040223A" w:rsidRPr="001679FF">
        <w:rPr>
          <w:rFonts w:cs="Arial"/>
          <w:bCs/>
          <w:color w:val="auto"/>
        </w:rPr>
        <w:t>frame for referral; requiring the imposition of fees for noncompliance; and permitting injunctive relief.</w:t>
      </w:r>
    </w:p>
    <w:p w14:paraId="66B691AE" w14:textId="77777777" w:rsidR="00303684" w:rsidRPr="001679FF" w:rsidRDefault="00303684" w:rsidP="00CC1F3B">
      <w:pPr>
        <w:pStyle w:val="EnactingClause"/>
        <w:rPr>
          <w:color w:val="auto"/>
        </w:rPr>
      </w:pPr>
      <w:r w:rsidRPr="001679FF">
        <w:rPr>
          <w:color w:val="auto"/>
        </w:rPr>
        <w:t>Be it enacted by the Legislature of West Virginia:</w:t>
      </w:r>
    </w:p>
    <w:p w14:paraId="04FFAAC3" w14:textId="77777777" w:rsidR="003C6034" w:rsidRPr="001679FF" w:rsidRDefault="003C6034" w:rsidP="00CC1F3B">
      <w:pPr>
        <w:pStyle w:val="EnactingClause"/>
        <w:rPr>
          <w:color w:val="auto"/>
        </w:rPr>
        <w:sectPr w:rsidR="003C6034" w:rsidRPr="001679FF"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080ADBF8" w14:textId="77777777" w:rsidR="0040223A" w:rsidRPr="001679FF" w:rsidRDefault="00BB3A69" w:rsidP="0040223A">
      <w:pPr>
        <w:suppressLineNumbers/>
        <w:ind w:left="720" w:hanging="720"/>
        <w:jc w:val="both"/>
        <w:outlineLvl w:val="1"/>
        <w:rPr>
          <w:rStyle w:val="Hyperlink"/>
          <w:rFonts w:cs="Arial"/>
          <w:b/>
          <w:color w:val="auto"/>
          <w:sz w:val="24"/>
          <w:u w:val="none"/>
          <w:bdr w:val="none" w:sz="0" w:space="0" w:color="auto" w:frame="1"/>
        </w:rPr>
        <w:sectPr w:rsidR="0040223A" w:rsidRPr="001679FF" w:rsidSect="00DF199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hyperlink r:id="rId19" w:history="1">
        <w:r w:rsidR="0040223A" w:rsidRPr="001679FF">
          <w:rPr>
            <w:rStyle w:val="Hyperlink"/>
            <w:rFonts w:cs="Arial"/>
            <w:b/>
            <w:color w:val="auto"/>
            <w:sz w:val="24"/>
            <w:u w:val="none"/>
            <w:bdr w:val="none" w:sz="0" w:space="0" w:color="auto" w:frame="1"/>
          </w:rPr>
          <w:t>ARTICLE 64. SYRINGE SERVICES PROGRAMS.</w:t>
        </w:r>
      </w:hyperlink>
    </w:p>
    <w:p w14:paraId="16093FD4" w14:textId="77777777" w:rsidR="0040223A" w:rsidRPr="001679FF" w:rsidRDefault="0040223A" w:rsidP="0040223A">
      <w:pPr>
        <w:suppressLineNumbers/>
        <w:ind w:left="720" w:hanging="720"/>
        <w:jc w:val="both"/>
        <w:outlineLvl w:val="3"/>
        <w:rPr>
          <w:b/>
          <w:bCs/>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b/>
          <w:bCs/>
          <w:color w:val="auto"/>
        </w:rPr>
        <w:t>§16-64-1. Definitions.</w:t>
      </w:r>
    </w:p>
    <w:p w14:paraId="1ADE323E"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65E255CB" w14:textId="77777777" w:rsidR="0040223A" w:rsidRPr="001679FF" w:rsidRDefault="0040223A" w:rsidP="0040223A">
      <w:pPr>
        <w:suppressLineNumbers/>
        <w:ind w:left="720" w:hanging="720"/>
        <w:jc w:val="both"/>
        <w:outlineLvl w:val="3"/>
        <w:rPr>
          <w:b/>
          <w:bCs/>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b/>
          <w:bCs/>
          <w:color w:val="auto"/>
        </w:rPr>
        <w:t>§16-64-2. Application for license to offer a syringe services program.</w:t>
      </w:r>
    </w:p>
    <w:p w14:paraId="0EA8AD33"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1" w:name="_Hlk152676714"/>
      <w:r w:rsidRPr="001679FF">
        <w:rPr>
          <w:rFonts w:cs="Arial"/>
          <w:color w:val="auto"/>
        </w:rPr>
        <w:t>[Repealed.]</w:t>
      </w:r>
    </w:p>
    <w:bookmarkEnd w:id="1"/>
    <w:p w14:paraId="5D620B9E" w14:textId="77777777" w:rsidR="0040223A" w:rsidRPr="001679FF" w:rsidRDefault="0040223A" w:rsidP="0040223A">
      <w:pPr>
        <w:suppressLineNumbers/>
        <w:ind w:left="720" w:hanging="720"/>
        <w:jc w:val="both"/>
        <w:outlineLvl w:val="3"/>
        <w:rPr>
          <w:b/>
          <w:bCs/>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b/>
          <w:bCs/>
          <w:color w:val="auto"/>
        </w:rPr>
        <w:t>§16-64-3. Program requirements.</w:t>
      </w:r>
    </w:p>
    <w:p w14:paraId="77049E65"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66C644CB" w14:textId="77777777" w:rsidR="0040223A" w:rsidRPr="001679FF" w:rsidRDefault="0040223A" w:rsidP="0040223A">
      <w:pPr>
        <w:suppressLineNumbers/>
        <w:ind w:left="720" w:hanging="720"/>
        <w:jc w:val="both"/>
        <w:outlineLvl w:val="3"/>
        <w:rPr>
          <w:b/>
          <w:bCs/>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b/>
          <w:bCs/>
          <w:color w:val="auto"/>
        </w:rPr>
        <w:t>§16-64-4. Procedure for revocation or limitation of the syringe services programs.</w:t>
      </w:r>
    </w:p>
    <w:p w14:paraId="2F90E8D4"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0F151804" w14:textId="77777777" w:rsidR="0040223A" w:rsidRPr="001679FF" w:rsidRDefault="0040223A" w:rsidP="0040223A">
      <w:pPr>
        <w:suppressLineNumbers/>
        <w:ind w:left="720" w:hanging="720"/>
        <w:jc w:val="both"/>
        <w:outlineLvl w:val="3"/>
        <w:rPr>
          <w:rFonts w:cs="Arial"/>
          <w:b/>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b/>
          <w:color w:val="auto"/>
        </w:rPr>
        <w:t>§16-64-5. Administrative due process.</w:t>
      </w:r>
    </w:p>
    <w:p w14:paraId="698FF96B"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3A8970A7" w14:textId="77777777" w:rsidR="0040223A" w:rsidRPr="001679FF" w:rsidRDefault="0040223A" w:rsidP="0040223A">
      <w:pPr>
        <w:suppressLineNumbers/>
        <w:ind w:left="720" w:hanging="720"/>
        <w:jc w:val="both"/>
        <w:outlineLvl w:val="3"/>
        <w:rPr>
          <w:rFonts w:cs="Arial"/>
          <w:b/>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b/>
          <w:color w:val="auto"/>
        </w:rPr>
        <w:t>§16-64-6. Administrative appeals and judicial review.</w:t>
      </w:r>
    </w:p>
    <w:p w14:paraId="70236527"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11630371" w14:textId="77777777" w:rsidR="0040223A" w:rsidRPr="001679FF" w:rsidRDefault="0040223A" w:rsidP="0040223A">
      <w:pPr>
        <w:suppressLineNumbers/>
        <w:ind w:left="720" w:hanging="720"/>
        <w:jc w:val="both"/>
        <w:outlineLvl w:val="3"/>
        <w:rPr>
          <w:rFonts w:cs="Arial"/>
          <w:b/>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b/>
          <w:color w:val="auto"/>
        </w:rPr>
        <w:t>§16-64-7. Reporting requirements; renewal; rulemaking.</w:t>
      </w:r>
    </w:p>
    <w:p w14:paraId="31190D14"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57E541B7" w14:textId="77777777" w:rsidR="0040223A" w:rsidRPr="001679FF" w:rsidRDefault="0040223A" w:rsidP="0040223A">
      <w:pPr>
        <w:suppressLineNumbers/>
        <w:ind w:left="720" w:hanging="720"/>
        <w:jc w:val="both"/>
        <w:outlineLvl w:val="3"/>
        <w:rPr>
          <w:rFonts w:cs="Arial"/>
          <w:b/>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b/>
          <w:color w:val="auto"/>
        </w:rPr>
        <w:t>§16-64-8. Immunity.</w:t>
      </w:r>
    </w:p>
    <w:p w14:paraId="76CEE66D"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2" w:name="_Hlk152677016"/>
      <w:r w:rsidRPr="001679FF">
        <w:rPr>
          <w:rFonts w:cs="Arial"/>
          <w:color w:val="auto"/>
        </w:rPr>
        <w:t>[Repealed.]</w:t>
      </w:r>
    </w:p>
    <w:bookmarkEnd w:id="2"/>
    <w:p w14:paraId="360A533D" w14:textId="77777777" w:rsidR="0040223A" w:rsidRPr="001679FF" w:rsidRDefault="0040223A" w:rsidP="0040223A">
      <w:pPr>
        <w:suppressLineNumbers/>
        <w:ind w:left="720" w:hanging="720"/>
        <w:jc w:val="both"/>
        <w:outlineLvl w:val="3"/>
        <w:rPr>
          <w:rFonts w:cs="Arial"/>
          <w:b/>
          <w:color w:val="auto"/>
        </w:rPr>
        <w:sectPr w:rsidR="0040223A" w:rsidRPr="001679FF" w:rsidSect="00895D7F">
          <w:footerReference w:type="first" r:id="rId20"/>
          <w:type w:val="continuous"/>
          <w:pgSz w:w="12240" w:h="15840" w:code="1"/>
          <w:pgMar w:top="1440" w:right="1440" w:bottom="1440" w:left="1440" w:header="720" w:footer="720" w:gutter="0"/>
          <w:lnNumType w:countBy="1" w:restart="newSection"/>
          <w:pgNumType w:start="2"/>
          <w:cols w:space="720"/>
          <w:titlePg/>
          <w:docGrid w:linePitch="360"/>
        </w:sectPr>
      </w:pPr>
      <w:r w:rsidRPr="001679FF">
        <w:rPr>
          <w:rFonts w:cs="Arial"/>
          <w:b/>
          <w:color w:val="auto"/>
        </w:rPr>
        <w:lastRenderedPageBreak/>
        <w:t>§16-64-9. Civil penalties and injunctive relief.</w:t>
      </w:r>
    </w:p>
    <w:p w14:paraId="49F2AD68"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bookmarkStart w:id="3" w:name="_Hlk152677044"/>
      <w:r w:rsidRPr="001679FF">
        <w:rPr>
          <w:rFonts w:cs="Arial"/>
          <w:color w:val="auto"/>
        </w:rPr>
        <w:t>[Repealed.]</w:t>
      </w:r>
    </w:p>
    <w:bookmarkEnd w:id="3"/>
    <w:p w14:paraId="2E03DAFD" w14:textId="77777777" w:rsidR="0040223A" w:rsidRPr="001679FF" w:rsidRDefault="0040223A" w:rsidP="0040223A">
      <w:pPr>
        <w:suppressLineNumbers/>
        <w:ind w:left="720" w:hanging="720"/>
        <w:jc w:val="both"/>
        <w:outlineLvl w:val="3"/>
        <w:rPr>
          <w:rFonts w:cs="Arial"/>
          <w:b/>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b/>
          <w:color w:val="auto"/>
        </w:rPr>
        <w:t>§16-64-10. Coordination of care.</w:t>
      </w:r>
    </w:p>
    <w:p w14:paraId="70B5788B" w14:textId="77777777" w:rsidR="0040223A" w:rsidRPr="001679FF" w:rsidRDefault="0040223A" w:rsidP="0040223A">
      <w:pPr>
        <w:ind w:firstLine="750"/>
        <w:jc w:val="both"/>
        <w:outlineLvl w:val="4"/>
        <w:rPr>
          <w:rFonts w:cs="Arial"/>
          <w:color w:val="auto"/>
        </w:rPr>
        <w:sectPr w:rsidR="0040223A" w:rsidRPr="001679FF" w:rsidSect="00DF199D">
          <w:type w:val="continuous"/>
          <w:pgSz w:w="12240" w:h="15840" w:code="1"/>
          <w:pgMar w:top="1440" w:right="1440" w:bottom="1440" w:left="1440" w:header="720" w:footer="720" w:gutter="0"/>
          <w:lnNumType w:countBy="1" w:restart="newSection"/>
          <w:pgNumType w:start="0"/>
          <w:cols w:space="720"/>
          <w:titlePg/>
          <w:docGrid w:linePitch="360"/>
        </w:sectPr>
      </w:pPr>
      <w:r w:rsidRPr="001679FF">
        <w:rPr>
          <w:rFonts w:cs="Arial"/>
          <w:color w:val="auto"/>
        </w:rPr>
        <w:t>[Repealed.]</w:t>
      </w:r>
    </w:p>
    <w:p w14:paraId="1C8E859C" w14:textId="77777777" w:rsidR="0040223A" w:rsidRPr="001679FF" w:rsidRDefault="00BB3A69" w:rsidP="0040223A">
      <w:pPr>
        <w:suppressLineNumbers/>
        <w:ind w:left="720" w:hanging="720"/>
        <w:jc w:val="both"/>
        <w:outlineLvl w:val="1"/>
        <w:rPr>
          <w:rStyle w:val="Hyperlink"/>
          <w:rFonts w:cs="Arial"/>
          <w:b/>
          <w:color w:val="auto"/>
          <w:sz w:val="24"/>
          <w:bdr w:val="none" w:sz="0" w:space="0" w:color="auto" w:frame="1"/>
        </w:rPr>
        <w:sectPr w:rsidR="0040223A" w:rsidRPr="001679FF" w:rsidSect="00DF199D">
          <w:type w:val="continuous"/>
          <w:pgSz w:w="12240" w:h="15840" w:code="1"/>
          <w:pgMar w:top="1440" w:right="1440" w:bottom="1440" w:left="1440" w:header="720" w:footer="720" w:gutter="0"/>
          <w:lnNumType w:countBy="1" w:restart="newSection"/>
          <w:cols w:space="720"/>
          <w:titlePg/>
          <w:docGrid w:linePitch="360"/>
        </w:sectPr>
      </w:pPr>
      <w:hyperlink r:id="rId21" w:history="1">
        <w:r w:rsidR="0040223A" w:rsidRPr="001679FF">
          <w:rPr>
            <w:rStyle w:val="Hyperlink"/>
            <w:rFonts w:cs="Arial"/>
            <w:b/>
            <w:color w:val="auto"/>
            <w:sz w:val="24"/>
            <w:bdr w:val="none" w:sz="0" w:space="0" w:color="auto" w:frame="1"/>
          </w:rPr>
          <w:t>ARTICLE 64A. SYRINGE SERVICES PROGRAMS ARE UNLAWFUL.</w:t>
        </w:r>
      </w:hyperlink>
    </w:p>
    <w:p w14:paraId="115E7093" w14:textId="0BD9C5A9" w:rsidR="0040223A" w:rsidRPr="001679FF" w:rsidRDefault="0040223A" w:rsidP="0040223A">
      <w:pPr>
        <w:suppressLineNumbers/>
        <w:ind w:left="720" w:hanging="720"/>
        <w:jc w:val="both"/>
        <w:outlineLvl w:val="3"/>
        <w:rPr>
          <w:rFonts w:cs="Arial"/>
          <w:b/>
          <w:color w:val="auto"/>
          <w:u w:val="single"/>
        </w:rPr>
        <w:sectPr w:rsidR="0040223A" w:rsidRPr="001679FF" w:rsidSect="000E1F3C">
          <w:type w:val="continuous"/>
          <w:pgSz w:w="12240" w:h="15840" w:code="1"/>
          <w:pgMar w:top="1440" w:right="1440" w:bottom="1440" w:left="1440" w:header="720" w:footer="720" w:gutter="0"/>
          <w:lnNumType w:countBy="1" w:restart="newSection"/>
          <w:cols w:space="720"/>
          <w:titlePg/>
          <w:docGrid w:linePitch="360"/>
        </w:sectPr>
      </w:pPr>
      <w:bookmarkStart w:id="4" w:name="_Hlk152151334"/>
      <w:r w:rsidRPr="001679FF">
        <w:rPr>
          <w:rFonts w:cs="Arial"/>
          <w:b/>
          <w:color w:val="auto"/>
          <w:u w:val="single"/>
        </w:rPr>
        <w:t>§16-64A-1</w:t>
      </w:r>
      <w:bookmarkEnd w:id="4"/>
      <w:r w:rsidRPr="001679FF">
        <w:rPr>
          <w:rFonts w:cs="Arial"/>
          <w:b/>
          <w:color w:val="auto"/>
          <w:u w:val="single"/>
        </w:rPr>
        <w:t>. Definitions.</w:t>
      </w:r>
    </w:p>
    <w:p w14:paraId="0869C9D8" w14:textId="77777777" w:rsidR="000E1F3C" w:rsidRPr="001679FF" w:rsidRDefault="000E1F3C" w:rsidP="0040223A">
      <w:pPr>
        <w:ind w:firstLine="720"/>
        <w:jc w:val="both"/>
        <w:rPr>
          <w:rFonts w:cs="Arial"/>
          <w:bCs/>
          <w:color w:val="auto"/>
          <w:sz w:val="24"/>
          <w:u w:val="single"/>
        </w:rPr>
      </w:pPr>
      <w:r w:rsidRPr="001679FF">
        <w:rPr>
          <w:rFonts w:cs="Arial"/>
          <w:bCs/>
          <w:color w:val="auto"/>
          <w:sz w:val="24"/>
          <w:u w:val="single"/>
        </w:rPr>
        <w:t>As used in this article:</w:t>
      </w:r>
    </w:p>
    <w:p w14:paraId="4A28F89A" w14:textId="0A8E1935" w:rsidR="0040223A" w:rsidRPr="001679FF" w:rsidRDefault="0040223A" w:rsidP="0040223A">
      <w:pPr>
        <w:ind w:firstLine="720"/>
        <w:jc w:val="both"/>
        <w:rPr>
          <w:rFonts w:cs="Arial"/>
          <w:color w:val="auto"/>
          <w:u w:val="single"/>
        </w:rPr>
      </w:pPr>
      <w:r w:rsidRPr="001679FF">
        <w:rPr>
          <w:rFonts w:cs="Arial"/>
          <w:color w:val="auto"/>
          <w:u w:val="single"/>
        </w:rPr>
        <w:t xml:space="preserve">"Director" means the director of the </w:t>
      </w:r>
      <w:bookmarkStart w:id="5" w:name="_Hlk150280462"/>
      <w:r w:rsidRPr="001679FF">
        <w:rPr>
          <w:rFonts w:cs="Arial"/>
          <w:color w:val="auto"/>
          <w:u w:val="single"/>
        </w:rPr>
        <w:t>Office of Health Facility Licensure and Certification</w:t>
      </w:r>
      <w:bookmarkEnd w:id="5"/>
      <w:r w:rsidRPr="001679FF">
        <w:rPr>
          <w:rFonts w:cs="Arial"/>
          <w:color w:val="auto"/>
          <w:u w:val="single"/>
        </w:rPr>
        <w:t>.</w:t>
      </w:r>
    </w:p>
    <w:p w14:paraId="7206F164" w14:textId="77777777" w:rsidR="0040223A" w:rsidRPr="001679FF" w:rsidRDefault="0040223A" w:rsidP="0040223A">
      <w:pPr>
        <w:ind w:firstLine="750"/>
        <w:jc w:val="both"/>
        <w:outlineLvl w:val="4"/>
        <w:rPr>
          <w:rFonts w:cs="Arial"/>
          <w:color w:val="auto"/>
          <w:u w:val="single"/>
        </w:rPr>
        <w:sectPr w:rsidR="0040223A" w:rsidRPr="001679FF" w:rsidSect="0040223A">
          <w:type w:val="continuous"/>
          <w:pgSz w:w="12240" w:h="15840" w:code="1"/>
          <w:pgMar w:top="1440" w:right="1440" w:bottom="1440" w:left="1440" w:header="720" w:footer="720" w:gutter="0"/>
          <w:lnNumType w:countBy="1" w:restart="continuous"/>
          <w:cols w:space="720"/>
          <w:titlePg/>
          <w:docGrid w:linePitch="360"/>
        </w:sectPr>
      </w:pPr>
      <w:r w:rsidRPr="001679FF">
        <w:rPr>
          <w:rFonts w:cs="Arial"/>
          <w:color w:val="auto"/>
          <w:u w:val="single"/>
        </w:rPr>
        <w:t>"Harm reduction program" means a program that provides services intended to lessen the adverse consequences of drug use and to protect public health and safety, by providing direct access to a referral to substance use disorder program treatment programs, screenings, vaccinations, education about overdose prevention, wound care, opioid antagonist distribution and education, and other medical services.</w:t>
      </w:r>
    </w:p>
    <w:p w14:paraId="4DA3C4DF" w14:textId="77777777" w:rsidR="0040223A" w:rsidRPr="001679FF" w:rsidRDefault="0040223A" w:rsidP="0040223A">
      <w:pPr>
        <w:ind w:firstLine="750"/>
        <w:jc w:val="both"/>
        <w:outlineLvl w:val="4"/>
        <w:rPr>
          <w:rFonts w:cs="Arial"/>
          <w:color w:val="auto"/>
          <w:u w:val="single"/>
        </w:rPr>
        <w:sectPr w:rsidR="0040223A" w:rsidRPr="001679FF" w:rsidSect="0040223A">
          <w:type w:val="continuous"/>
          <w:pgSz w:w="12240" w:h="15840" w:code="1"/>
          <w:pgMar w:top="1440" w:right="1440" w:bottom="1440" w:left="1440" w:header="720" w:footer="720" w:gutter="0"/>
          <w:lnNumType w:countBy="1" w:restart="continuous"/>
          <w:cols w:space="720"/>
          <w:titlePg/>
          <w:docGrid w:linePitch="360"/>
        </w:sectPr>
      </w:pPr>
      <w:r w:rsidRPr="001679FF">
        <w:rPr>
          <w:rFonts w:cs="Arial"/>
          <w:color w:val="auto"/>
          <w:u w:val="single"/>
        </w:rPr>
        <w:t xml:space="preserve">"Syringe services program" means a program, whether offered by an individual or a provider, where an individual can access sterile syringes or needles and other injection paraphernalia without a prescription. </w:t>
      </w:r>
    </w:p>
    <w:p w14:paraId="10C5C96C" w14:textId="77777777" w:rsidR="0040223A" w:rsidRPr="001679FF" w:rsidRDefault="0040223A" w:rsidP="0040223A">
      <w:pPr>
        <w:suppressLineNumbers/>
        <w:ind w:left="720" w:hanging="720"/>
        <w:jc w:val="both"/>
        <w:outlineLvl w:val="3"/>
        <w:rPr>
          <w:rFonts w:cs="Arial"/>
          <w:b/>
          <w:color w:val="auto"/>
          <w:u w:val="single"/>
        </w:rPr>
        <w:sectPr w:rsidR="0040223A" w:rsidRPr="001679FF" w:rsidSect="0040223A">
          <w:type w:val="continuous"/>
          <w:pgSz w:w="12240" w:h="15840" w:code="1"/>
          <w:pgMar w:top="1440" w:right="1440" w:bottom="1440" w:left="1440" w:header="720" w:footer="720" w:gutter="0"/>
          <w:lnNumType w:countBy="1" w:restart="continuous"/>
          <w:cols w:space="720"/>
          <w:titlePg/>
          <w:docGrid w:linePitch="360"/>
        </w:sectPr>
      </w:pPr>
      <w:r w:rsidRPr="001679FF">
        <w:rPr>
          <w:rFonts w:cs="Arial"/>
          <w:b/>
          <w:color w:val="auto"/>
          <w:u w:val="single"/>
        </w:rPr>
        <w:t>§16-64A-2. Syringe Service Programs Unlawful.</w:t>
      </w:r>
    </w:p>
    <w:p w14:paraId="471A8BDA" w14:textId="77777777" w:rsidR="0040223A" w:rsidRPr="001679FF" w:rsidRDefault="0040223A" w:rsidP="0040223A">
      <w:pPr>
        <w:ind w:firstLine="750"/>
        <w:jc w:val="both"/>
        <w:outlineLvl w:val="4"/>
        <w:rPr>
          <w:rFonts w:cs="Arial"/>
          <w:color w:val="auto"/>
          <w:u w:val="single"/>
        </w:rPr>
        <w:sectPr w:rsidR="0040223A" w:rsidRPr="001679FF" w:rsidSect="00DF199D">
          <w:type w:val="continuous"/>
          <w:pgSz w:w="12240" w:h="15840" w:code="1"/>
          <w:pgMar w:top="1440" w:right="1440" w:bottom="1440" w:left="1440" w:header="720" w:footer="720" w:gutter="0"/>
          <w:lnNumType w:countBy="1" w:restart="newSection"/>
          <w:cols w:space="720"/>
          <w:titlePg/>
          <w:docGrid w:linePitch="360"/>
        </w:sectPr>
      </w:pPr>
      <w:r w:rsidRPr="001679FF">
        <w:rPr>
          <w:rFonts w:cs="Arial"/>
          <w:color w:val="auto"/>
          <w:u w:val="single"/>
        </w:rPr>
        <w:t>(a) Syringe services programs shall be considered unlawful in the State of West Virginia; and</w:t>
      </w:r>
    </w:p>
    <w:p w14:paraId="1ACD9FC0" w14:textId="77777777" w:rsidR="0040223A" w:rsidRPr="001679FF" w:rsidRDefault="0040223A" w:rsidP="0040223A">
      <w:pPr>
        <w:ind w:firstLine="750"/>
        <w:jc w:val="both"/>
        <w:outlineLvl w:val="4"/>
        <w:rPr>
          <w:rFonts w:cs="Arial"/>
          <w:color w:val="auto"/>
          <w:u w:val="single"/>
        </w:rPr>
        <w:sectPr w:rsidR="0040223A" w:rsidRPr="001679FF" w:rsidSect="00DF199D">
          <w:type w:val="continuous"/>
          <w:pgSz w:w="12240" w:h="15840" w:code="1"/>
          <w:pgMar w:top="1440" w:right="1440" w:bottom="1440" w:left="1440" w:header="720" w:footer="720" w:gutter="0"/>
          <w:lnNumType w:countBy="1" w:restart="newSection"/>
          <w:cols w:space="720"/>
          <w:titlePg/>
          <w:docGrid w:linePitch="360"/>
        </w:sectPr>
      </w:pPr>
      <w:r w:rsidRPr="001679FF">
        <w:rPr>
          <w:rFonts w:cs="Arial"/>
          <w:color w:val="auto"/>
          <w:u w:val="single"/>
        </w:rPr>
        <w:t xml:space="preserve">(b) An owner, operator, or other individual shall cease and desist operations of the syringe services program on the effective date of this article. </w:t>
      </w:r>
    </w:p>
    <w:p w14:paraId="499BAB54" w14:textId="77777777" w:rsidR="0040223A" w:rsidRPr="001679FF" w:rsidRDefault="0040223A" w:rsidP="0040223A">
      <w:pPr>
        <w:suppressLineNumbers/>
        <w:ind w:left="720" w:hanging="720"/>
        <w:jc w:val="both"/>
        <w:outlineLvl w:val="3"/>
        <w:rPr>
          <w:rFonts w:cs="Arial"/>
          <w:b/>
          <w:color w:val="auto"/>
          <w:u w:val="single"/>
        </w:rPr>
        <w:sectPr w:rsidR="0040223A" w:rsidRPr="001679FF" w:rsidSect="00DF199D">
          <w:type w:val="continuous"/>
          <w:pgSz w:w="12240" w:h="15840" w:code="1"/>
          <w:pgMar w:top="1440" w:right="1440" w:bottom="1440" w:left="1440" w:header="720" w:footer="720" w:gutter="0"/>
          <w:lnNumType w:countBy="1" w:restart="newSection"/>
          <w:cols w:space="720"/>
          <w:titlePg/>
          <w:docGrid w:linePitch="360"/>
        </w:sectPr>
      </w:pPr>
      <w:bookmarkStart w:id="6" w:name="_Hlk152151361"/>
      <w:r w:rsidRPr="001679FF">
        <w:rPr>
          <w:rFonts w:cs="Arial"/>
          <w:b/>
          <w:color w:val="auto"/>
          <w:u w:val="single"/>
        </w:rPr>
        <w:t>§16-64A-3</w:t>
      </w:r>
      <w:bookmarkEnd w:id="6"/>
      <w:r w:rsidRPr="001679FF">
        <w:rPr>
          <w:rFonts w:cs="Arial"/>
          <w:b/>
          <w:color w:val="auto"/>
          <w:u w:val="single"/>
        </w:rPr>
        <w:t>. Harm reduction services and care transition.</w:t>
      </w:r>
    </w:p>
    <w:p w14:paraId="3CCF3A80" w14:textId="77777777" w:rsidR="0040223A" w:rsidRPr="001679FF" w:rsidRDefault="0040223A" w:rsidP="0040223A">
      <w:pPr>
        <w:ind w:firstLine="750"/>
        <w:jc w:val="both"/>
        <w:outlineLvl w:val="4"/>
        <w:rPr>
          <w:rFonts w:cs="Arial"/>
          <w:color w:val="auto"/>
          <w:u w:val="single"/>
        </w:rPr>
        <w:sectPr w:rsidR="0040223A" w:rsidRPr="001679FF" w:rsidSect="00DF199D">
          <w:type w:val="continuous"/>
          <w:pgSz w:w="12240" w:h="15840" w:code="1"/>
          <w:pgMar w:top="1440" w:right="1440" w:bottom="1440" w:left="1440" w:header="720" w:footer="720" w:gutter="0"/>
          <w:lnNumType w:countBy="1" w:restart="newSection"/>
          <w:cols w:space="720"/>
          <w:titlePg/>
          <w:docGrid w:linePitch="360"/>
        </w:sectPr>
      </w:pPr>
      <w:r w:rsidRPr="001679FF">
        <w:rPr>
          <w:rFonts w:cs="Arial"/>
          <w:color w:val="auto"/>
          <w:u w:val="single"/>
        </w:rPr>
        <w:t xml:space="preserve">(a) An owner, operator, or individual may offer harm reduction services after the effective date of this article: </w:t>
      </w:r>
      <w:r w:rsidRPr="001679FF">
        <w:rPr>
          <w:rFonts w:cs="Arial"/>
          <w:i/>
          <w:iCs/>
          <w:color w:val="auto"/>
          <w:u w:val="single"/>
        </w:rPr>
        <w:t>Provided,</w:t>
      </w:r>
      <w:r w:rsidRPr="001679FF">
        <w:rPr>
          <w:rFonts w:cs="Arial"/>
          <w:color w:val="auto"/>
          <w:u w:val="single"/>
        </w:rPr>
        <w:t xml:space="preserve"> That the owner, operator or individual does not offer a syringe services program.</w:t>
      </w:r>
    </w:p>
    <w:p w14:paraId="084ADDE8" w14:textId="77777777" w:rsidR="0040223A" w:rsidRPr="001679FF" w:rsidRDefault="0040223A" w:rsidP="0040223A">
      <w:pPr>
        <w:ind w:firstLine="750"/>
        <w:jc w:val="both"/>
        <w:outlineLvl w:val="4"/>
        <w:rPr>
          <w:rFonts w:cs="Arial"/>
          <w:color w:val="auto"/>
          <w:u w:val="single"/>
        </w:rPr>
        <w:sectPr w:rsidR="0040223A" w:rsidRPr="001679FF" w:rsidSect="00895D7F">
          <w:footerReference w:type="first" r:id="rId22"/>
          <w:type w:val="continuous"/>
          <w:pgSz w:w="12240" w:h="15840" w:code="1"/>
          <w:pgMar w:top="1440" w:right="1440" w:bottom="1440" w:left="1440" w:header="720" w:footer="720" w:gutter="0"/>
          <w:lnNumType w:countBy="1" w:restart="newSection"/>
          <w:pgNumType w:start="3"/>
          <w:cols w:space="720"/>
          <w:titlePg/>
          <w:docGrid w:linePitch="360"/>
        </w:sectPr>
      </w:pPr>
      <w:r w:rsidRPr="001679FF">
        <w:rPr>
          <w:rFonts w:cs="Arial"/>
          <w:color w:val="auto"/>
          <w:u w:val="single"/>
        </w:rPr>
        <w:lastRenderedPageBreak/>
        <w:t>(b) Notwithstanding the provisions of this article, a syringe services program may remain open for an administrative transition timeframe of 120 days after the effective date of this article, to assist patients in the transition of care. In no event may any patient be provided any syringe exchange service during this administrative timeframe.</w:t>
      </w:r>
    </w:p>
    <w:p w14:paraId="093617AC" w14:textId="77777777" w:rsidR="000E1F3C" w:rsidRPr="001679FF" w:rsidRDefault="0040223A" w:rsidP="0040223A">
      <w:pPr>
        <w:suppressLineNumbers/>
        <w:ind w:left="720" w:hanging="720"/>
        <w:jc w:val="both"/>
        <w:outlineLvl w:val="3"/>
        <w:rPr>
          <w:rFonts w:cs="Arial"/>
          <w:b/>
          <w:color w:val="auto"/>
          <w:u w:val="single"/>
        </w:rPr>
        <w:sectPr w:rsidR="000E1F3C" w:rsidRPr="001679FF" w:rsidSect="00DF199D">
          <w:type w:val="continuous"/>
          <w:pgSz w:w="12240" w:h="15840" w:code="1"/>
          <w:pgMar w:top="1440" w:right="1440" w:bottom="1440" w:left="1440" w:header="720" w:footer="720" w:gutter="0"/>
          <w:lnNumType w:countBy="1" w:restart="newSection"/>
          <w:cols w:space="720"/>
          <w:titlePg/>
          <w:docGrid w:linePitch="360"/>
        </w:sectPr>
      </w:pPr>
      <w:r w:rsidRPr="001679FF">
        <w:rPr>
          <w:rFonts w:cs="Arial"/>
          <w:b/>
          <w:color w:val="auto"/>
          <w:u w:val="single"/>
        </w:rPr>
        <w:t>§16-64A-4. Civil penalties and injunctive relief.</w:t>
      </w:r>
    </w:p>
    <w:p w14:paraId="22DC9A54" w14:textId="77777777" w:rsidR="000E1F3C" w:rsidRPr="001679FF" w:rsidRDefault="0040223A" w:rsidP="0040223A">
      <w:pPr>
        <w:ind w:firstLine="750"/>
        <w:jc w:val="both"/>
        <w:outlineLvl w:val="4"/>
        <w:rPr>
          <w:rFonts w:cs="Arial"/>
          <w:color w:val="auto"/>
          <w:u w:val="single"/>
        </w:rPr>
        <w:sectPr w:rsidR="000E1F3C" w:rsidRPr="001679FF" w:rsidSect="00DF199D">
          <w:type w:val="continuous"/>
          <w:pgSz w:w="12240" w:h="15840" w:code="1"/>
          <w:pgMar w:top="1440" w:right="1440" w:bottom="1440" w:left="1440" w:header="720" w:footer="720" w:gutter="0"/>
          <w:lnNumType w:countBy="1" w:restart="newSection"/>
          <w:cols w:space="720"/>
          <w:titlePg/>
          <w:docGrid w:linePitch="360"/>
        </w:sectPr>
      </w:pPr>
      <w:r w:rsidRPr="001679FF">
        <w:rPr>
          <w:rFonts w:cs="Arial"/>
          <w:color w:val="auto"/>
          <w:u w:val="single"/>
        </w:rPr>
        <w:t>(a) If an owner, operator, or other individual operates a syringe services program after the effective date, the Director shall impose a civil money penalty upon the owner, operator, or individual not to exceed $2,500 per day.</w:t>
      </w:r>
    </w:p>
    <w:p w14:paraId="5F46B98E" w14:textId="422BB8D1" w:rsidR="008736AA" w:rsidRPr="001679FF" w:rsidRDefault="0040223A" w:rsidP="0040223A">
      <w:pPr>
        <w:pStyle w:val="SectionBody"/>
        <w:rPr>
          <w:color w:val="auto"/>
        </w:rPr>
      </w:pPr>
      <w:r w:rsidRPr="001679FF">
        <w:rPr>
          <w:rFonts w:cs="Arial"/>
          <w:color w:val="auto"/>
          <w:u w:val="single"/>
        </w:rPr>
        <w:t>(b) The Office of Health Facilities Licensure and Certification may seek injunctive relief to enforce the provisions of this article.</w:t>
      </w:r>
    </w:p>
    <w:p w14:paraId="374957B3" w14:textId="77777777" w:rsidR="00C33014" w:rsidRPr="001679FF" w:rsidRDefault="00C33014" w:rsidP="00CC1F3B">
      <w:pPr>
        <w:pStyle w:val="Note"/>
        <w:rPr>
          <w:color w:val="auto"/>
        </w:rPr>
      </w:pPr>
    </w:p>
    <w:p w14:paraId="13B64313" w14:textId="1965E499" w:rsidR="006865E9" w:rsidRPr="001679FF" w:rsidRDefault="00CF1DCA" w:rsidP="00CC1F3B">
      <w:pPr>
        <w:pStyle w:val="Note"/>
        <w:rPr>
          <w:color w:val="auto"/>
        </w:rPr>
      </w:pPr>
      <w:r w:rsidRPr="001679FF">
        <w:rPr>
          <w:color w:val="auto"/>
        </w:rPr>
        <w:t xml:space="preserve">NOTE: </w:t>
      </w:r>
      <w:r w:rsidR="0040223A" w:rsidRPr="001679FF">
        <w:rPr>
          <w:color w:val="auto"/>
        </w:rPr>
        <w:t>The purpose of this bill is to make syringe services unlawful and provide for penalties for violation of the article.  The proposed bill permits the provision of harm reduction services not associated with a syringe exchange program and permits an administrative timeframe for the transition of care. Requiring the Office for Health Facilities Licensure and Certification to seek penalties and the ability to seek injunctive relief for violations of the article.</w:t>
      </w:r>
    </w:p>
    <w:p w14:paraId="5237E999" w14:textId="77777777" w:rsidR="006865E9" w:rsidRPr="001679FF" w:rsidRDefault="00AE48A0" w:rsidP="00CC1F3B">
      <w:pPr>
        <w:pStyle w:val="Note"/>
        <w:rPr>
          <w:color w:val="auto"/>
        </w:rPr>
      </w:pPr>
      <w:r w:rsidRPr="001679FF">
        <w:rPr>
          <w:color w:val="auto"/>
        </w:rPr>
        <w:t>Strike-throughs indicate language that would be stricken from a heading or the present law and underscoring indicates new language that would be added.</w:t>
      </w:r>
    </w:p>
    <w:sectPr w:rsidR="006865E9" w:rsidRPr="001679FF"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D42EA" w14:textId="77777777" w:rsidR="006D21F9" w:rsidRPr="00B844FE" w:rsidRDefault="006D21F9" w:rsidP="00B844FE">
      <w:r>
        <w:separator/>
      </w:r>
    </w:p>
  </w:endnote>
  <w:endnote w:type="continuationSeparator" w:id="0">
    <w:p w14:paraId="6A92242E" w14:textId="77777777" w:rsidR="006D21F9" w:rsidRPr="00B844FE" w:rsidRDefault="006D21F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37366F1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E4FAE9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C546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8AE0C" w14:textId="556AE76D" w:rsidR="000E1F3C" w:rsidRDefault="000E1F3C" w:rsidP="008A0CB5">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961183"/>
      <w:docPartObj>
        <w:docPartGallery w:val="Page Numbers (Bottom of Page)"/>
        <w:docPartUnique/>
      </w:docPartObj>
    </w:sdtPr>
    <w:sdtEndPr/>
    <w:sdtContent>
      <w:p w14:paraId="1339B03A" w14:textId="77777777" w:rsidR="0040223A" w:rsidRPr="00B844FE" w:rsidRDefault="0040223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272A5991" w14:textId="77777777" w:rsidR="0040223A" w:rsidRDefault="0040223A"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950641"/>
      <w:docPartObj>
        <w:docPartGallery w:val="Page Numbers (Bottom of Page)"/>
        <w:docPartUnique/>
      </w:docPartObj>
    </w:sdtPr>
    <w:sdtEndPr>
      <w:rPr>
        <w:noProof/>
      </w:rPr>
    </w:sdtEndPr>
    <w:sdtContent>
      <w:p w14:paraId="035E0179" w14:textId="77777777" w:rsidR="0040223A" w:rsidRDefault="0040223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83968"/>
      <w:docPartObj>
        <w:docPartGallery w:val="Page Numbers (Bottom of Page)"/>
        <w:docPartUnique/>
      </w:docPartObj>
    </w:sdtPr>
    <w:sdtEndPr>
      <w:rPr>
        <w:noProof/>
      </w:rPr>
    </w:sdtEndPr>
    <w:sdtContent>
      <w:p w14:paraId="03F7AFB0" w14:textId="77777777" w:rsidR="00895D7F" w:rsidRDefault="00895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1BA85C" w14:textId="77777777" w:rsidR="00895D7F" w:rsidRDefault="00895D7F" w:rsidP="008A0CB5">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1811048"/>
      <w:docPartObj>
        <w:docPartGallery w:val="Page Numbers (Bottom of Page)"/>
        <w:docPartUnique/>
      </w:docPartObj>
    </w:sdtPr>
    <w:sdtEndPr>
      <w:rPr>
        <w:noProof/>
      </w:rPr>
    </w:sdtEndPr>
    <w:sdtContent>
      <w:p w14:paraId="2CA31E07" w14:textId="77777777" w:rsidR="00895D7F" w:rsidRDefault="00895D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8C3CEB5" w14:textId="77777777" w:rsidR="00895D7F" w:rsidRDefault="00895D7F" w:rsidP="008A0C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09672D" w14:textId="77777777" w:rsidR="006D21F9" w:rsidRPr="00B844FE" w:rsidRDefault="006D21F9" w:rsidP="00B844FE">
      <w:r>
        <w:separator/>
      </w:r>
    </w:p>
  </w:footnote>
  <w:footnote w:type="continuationSeparator" w:id="0">
    <w:p w14:paraId="21997554" w14:textId="77777777" w:rsidR="006D21F9" w:rsidRPr="00B844FE" w:rsidRDefault="006D21F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E8167" w14:textId="77777777" w:rsidR="002A0269" w:rsidRPr="00B844FE" w:rsidRDefault="00BB3A69">
    <w:pPr>
      <w:pStyle w:val="Header"/>
    </w:pPr>
    <w:sdt>
      <w:sdtPr>
        <w:id w:val="-684364211"/>
        <w:placeholder>
          <w:docPart w:val="5E5EDABB0E254F388AC86D3DCCE3EB8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E5EDABB0E254F388AC86D3DCCE3EB8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09DA1" w14:textId="169E0D87"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0E1F3C">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0E1F3C">
          <w:rPr>
            <w:sz w:val="22"/>
            <w:szCs w:val="22"/>
          </w:rPr>
          <w:t>2024R2506</w:t>
        </w:r>
      </w:sdtContent>
    </w:sdt>
  </w:p>
  <w:p w14:paraId="59FBEC8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606A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DFD8C" w14:textId="77777777" w:rsidR="0040223A" w:rsidRPr="00B844FE" w:rsidRDefault="00BB3A69">
    <w:pPr>
      <w:pStyle w:val="Header"/>
    </w:pPr>
    <w:sdt>
      <w:sdtPr>
        <w:id w:val="1415046820"/>
        <w:placeholder>
          <w:docPart w:val="5E5EDABB0E254F388AC86D3DCCE3EB80"/>
        </w:placeholder>
        <w:temporary/>
        <w:showingPlcHdr/>
        <w15:appearance w15:val="hidden"/>
      </w:sdtPr>
      <w:sdtEndPr/>
      <w:sdtContent>
        <w:r w:rsidR="0040223A" w:rsidRPr="00B844FE">
          <w:t>[Type here]</w:t>
        </w:r>
      </w:sdtContent>
    </w:sdt>
    <w:r w:rsidR="0040223A" w:rsidRPr="00B844FE">
      <w:ptab w:relativeTo="margin" w:alignment="left" w:leader="none"/>
    </w:r>
    <w:sdt>
      <w:sdtPr>
        <w:id w:val="-2000650652"/>
        <w:placeholder>
          <w:docPart w:val="5E5EDABB0E254F388AC86D3DCCE3EB80"/>
        </w:placeholder>
        <w:temporary/>
        <w:showingPlcHdr/>
        <w15:appearance w15:val="hidden"/>
      </w:sdtPr>
      <w:sdtEndPr/>
      <w:sdtContent>
        <w:r w:rsidR="0040223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4E0D8" w14:textId="77777777" w:rsidR="0040223A" w:rsidRPr="00C33014" w:rsidRDefault="0040223A" w:rsidP="000573A9">
    <w:pPr>
      <w:pStyle w:val="HeaderStyle"/>
    </w:pPr>
    <w:r>
      <w:t xml:space="preserve">Intr </w:t>
    </w:r>
    <w:sdt>
      <w:sdtPr>
        <w:tag w:val="BNumWH"/>
        <w:id w:val="245699095"/>
        <w:showingPlcHdr/>
        <w:text/>
      </w:sdtPr>
      <w:sdtEndPr/>
      <w:sdtContent/>
    </w:sdt>
    <w:r>
      <w:t xml:space="preserve"> </w:t>
    </w:r>
    <w:r w:rsidRPr="002A0269">
      <w:ptab w:relativeTo="margin" w:alignment="center" w:leader="none"/>
    </w:r>
    <w:r>
      <w:tab/>
    </w:r>
    <w:sdt>
      <w:sdtPr>
        <w:alias w:val="CBD Number"/>
        <w:tag w:val="CBD Number"/>
        <w:id w:val="1295950320"/>
        <w:showingPlcHdr/>
        <w:text/>
      </w:sdtPr>
      <w:sdtEndPr/>
      <w:sdtContent>
        <w:r>
          <w:rPr>
            <w:rStyle w:val="PlaceholderText"/>
          </w:rPr>
          <w:t>Click here to enter text.</w:t>
        </w:r>
      </w:sdtContent>
    </w:sdt>
  </w:p>
  <w:p w14:paraId="2DC26D9A" w14:textId="77777777" w:rsidR="0040223A" w:rsidRPr="00C33014" w:rsidRDefault="0040223A" w:rsidP="00C3301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006B7" w14:textId="3C724569" w:rsidR="0040223A" w:rsidRPr="002A0269" w:rsidRDefault="008A0CB5" w:rsidP="00CC1F3B">
    <w:pPr>
      <w:pStyle w:val="HeaderStyle"/>
    </w:pPr>
    <w:r>
      <w:t>Intr SB</w:t>
    </w:r>
    <w:sdt>
      <w:sdtPr>
        <w:tag w:val="BNumWH"/>
        <w:id w:val="1659882348"/>
        <w:showingPlcHdr/>
        <w:text/>
      </w:sdtPr>
      <w:sdtEndPr/>
      <w:sdtContent/>
    </w:sdt>
    <w:r w:rsidR="0040223A">
      <w:t xml:space="preserve"> </w:t>
    </w:r>
    <w:r w:rsidR="0040223A" w:rsidRPr="002A0269">
      <w:ptab w:relativeTo="margin" w:alignment="center" w:leader="none"/>
    </w:r>
    <w:r w:rsidR="0040223A">
      <w:tab/>
    </w:r>
    <w:sdt>
      <w:sdtPr>
        <w:alias w:val="CBD Number"/>
        <w:tag w:val="CBD Number"/>
        <w:id w:val="1241833143"/>
        <w:text/>
      </w:sdtPr>
      <w:sdtEndPr/>
      <w:sdtContent>
        <w:r>
          <w:t>2024R2506</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1F9"/>
    <w:rsid w:val="0000526A"/>
    <w:rsid w:val="000573A9"/>
    <w:rsid w:val="00085D22"/>
    <w:rsid w:val="00093AB0"/>
    <w:rsid w:val="000C5C77"/>
    <w:rsid w:val="000E1F3C"/>
    <w:rsid w:val="000E3912"/>
    <w:rsid w:val="0010070F"/>
    <w:rsid w:val="0015112E"/>
    <w:rsid w:val="001552E7"/>
    <w:rsid w:val="001566B4"/>
    <w:rsid w:val="001679FF"/>
    <w:rsid w:val="001A66B7"/>
    <w:rsid w:val="001C279E"/>
    <w:rsid w:val="001D459E"/>
    <w:rsid w:val="0022348D"/>
    <w:rsid w:val="0027011C"/>
    <w:rsid w:val="00274200"/>
    <w:rsid w:val="00275740"/>
    <w:rsid w:val="002A0269"/>
    <w:rsid w:val="00303684"/>
    <w:rsid w:val="003143F5"/>
    <w:rsid w:val="00314854"/>
    <w:rsid w:val="00394191"/>
    <w:rsid w:val="003C51CD"/>
    <w:rsid w:val="003C6034"/>
    <w:rsid w:val="00400B5C"/>
    <w:rsid w:val="0040223A"/>
    <w:rsid w:val="00411F2D"/>
    <w:rsid w:val="004368E0"/>
    <w:rsid w:val="0048701E"/>
    <w:rsid w:val="004C13DD"/>
    <w:rsid w:val="004D3ABE"/>
    <w:rsid w:val="004E3441"/>
    <w:rsid w:val="00500579"/>
    <w:rsid w:val="005A5366"/>
    <w:rsid w:val="006369EB"/>
    <w:rsid w:val="00637E73"/>
    <w:rsid w:val="006865E9"/>
    <w:rsid w:val="00686E9A"/>
    <w:rsid w:val="00691F3E"/>
    <w:rsid w:val="00694BFB"/>
    <w:rsid w:val="006A106B"/>
    <w:rsid w:val="006C523D"/>
    <w:rsid w:val="006D21F9"/>
    <w:rsid w:val="006D4036"/>
    <w:rsid w:val="006E2019"/>
    <w:rsid w:val="007A5259"/>
    <w:rsid w:val="007A7081"/>
    <w:rsid w:val="007F1CF5"/>
    <w:rsid w:val="00834EDE"/>
    <w:rsid w:val="008736AA"/>
    <w:rsid w:val="00895D7F"/>
    <w:rsid w:val="008A0CB5"/>
    <w:rsid w:val="008D275D"/>
    <w:rsid w:val="00946186"/>
    <w:rsid w:val="00980327"/>
    <w:rsid w:val="00986478"/>
    <w:rsid w:val="009B5557"/>
    <w:rsid w:val="009F1067"/>
    <w:rsid w:val="00A00F4D"/>
    <w:rsid w:val="00A31E01"/>
    <w:rsid w:val="00A527AD"/>
    <w:rsid w:val="00A718CF"/>
    <w:rsid w:val="00AE48A0"/>
    <w:rsid w:val="00AE61BE"/>
    <w:rsid w:val="00B16F25"/>
    <w:rsid w:val="00B24422"/>
    <w:rsid w:val="00B66B81"/>
    <w:rsid w:val="00B71E6F"/>
    <w:rsid w:val="00B80C20"/>
    <w:rsid w:val="00B844FE"/>
    <w:rsid w:val="00B86B4F"/>
    <w:rsid w:val="00BA1F84"/>
    <w:rsid w:val="00BB3A69"/>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D36"/>
    <w:rsid w:val="00E62F48"/>
    <w:rsid w:val="00E831B3"/>
    <w:rsid w:val="00E95FBC"/>
    <w:rsid w:val="00EC5E63"/>
    <w:rsid w:val="00EE70CB"/>
    <w:rsid w:val="00F31E73"/>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323EF"/>
  <w15:chartTrackingRefBased/>
  <w15:docId w15:val="{8E12094C-35AD-4253-B36B-DD7C01F35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4022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unhideWhenUsed/>
    <w:locked/>
    <w:rsid w:val="004022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code.wvlegislature.gov/16-64/"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code.wvlegislature.gov/16-64/"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29F605AEF7A4F2096DD61EEF6DFE99E"/>
        <w:category>
          <w:name w:val="General"/>
          <w:gallery w:val="placeholder"/>
        </w:category>
        <w:types>
          <w:type w:val="bbPlcHdr"/>
        </w:types>
        <w:behaviors>
          <w:behavior w:val="content"/>
        </w:behaviors>
        <w:guid w:val="{292D1C72-A3EB-45FB-B799-56C845B4CE02}"/>
      </w:docPartPr>
      <w:docPartBody>
        <w:p w:rsidR="00E10D5E" w:rsidRDefault="00E10D5E">
          <w:pPr>
            <w:pStyle w:val="829F605AEF7A4F2096DD61EEF6DFE99E"/>
          </w:pPr>
          <w:r w:rsidRPr="00B844FE">
            <w:t>Prefix Text</w:t>
          </w:r>
        </w:p>
      </w:docPartBody>
    </w:docPart>
    <w:docPart>
      <w:docPartPr>
        <w:name w:val="5E5EDABB0E254F388AC86D3DCCE3EB80"/>
        <w:category>
          <w:name w:val="General"/>
          <w:gallery w:val="placeholder"/>
        </w:category>
        <w:types>
          <w:type w:val="bbPlcHdr"/>
        </w:types>
        <w:behaviors>
          <w:behavior w:val="content"/>
        </w:behaviors>
        <w:guid w:val="{1358E2C9-DC35-44FE-9233-D70841BD4209}"/>
      </w:docPartPr>
      <w:docPartBody>
        <w:p w:rsidR="00E10D5E" w:rsidRDefault="00E10D5E">
          <w:pPr>
            <w:pStyle w:val="5E5EDABB0E254F388AC86D3DCCE3EB80"/>
          </w:pPr>
          <w:r w:rsidRPr="00B844FE">
            <w:t>[Type here]</w:t>
          </w:r>
        </w:p>
      </w:docPartBody>
    </w:docPart>
    <w:docPart>
      <w:docPartPr>
        <w:name w:val="3CBC12FCCD2B4729A2C3D808F45B8620"/>
        <w:category>
          <w:name w:val="General"/>
          <w:gallery w:val="placeholder"/>
        </w:category>
        <w:types>
          <w:type w:val="bbPlcHdr"/>
        </w:types>
        <w:behaviors>
          <w:behavior w:val="content"/>
        </w:behaviors>
        <w:guid w:val="{C856FB24-38C5-4A34-A62D-7E8FDA653EC3}"/>
      </w:docPartPr>
      <w:docPartBody>
        <w:p w:rsidR="00E10D5E" w:rsidRDefault="00E10D5E">
          <w:pPr>
            <w:pStyle w:val="3CBC12FCCD2B4729A2C3D808F45B8620"/>
          </w:pPr>
          <w:r w:rsidRPr="00B844FE">
            <w:t>Number</w:t>
          </w:r>
        </w:p>
      </w:docPartBody>
    </w:docPart>
    <w:docPart>
      <w:docPartPr>
        <w:name w:val="C8F70BD3800A4C848A0BF31A03A116EA"/>
        <w:category>
          <w:name w:val="General"/>
          <w:gallery w:val="placeholder"/>
        </w:category>
        <w:types>
          <w:type w:val="bbPlcHdr"/>
        </w:types>
        <w:behaviors>
          <w:behavior w:val="content"/>
        </w:behaviors>
        <w:guid w:val="{A5C35A61-1904-4C62-A0DD-A3C76F2EABCF}"/>
      </w:docPartPr>
      <w:docPartBody>
        <w:p w:rsidR="00E10D5E" w:rsidRDefault="00E10D5E">
          <w:pPr>
            <w:pStyle w:val="C8F70BD3800A4C848A0BF31A03A116EA"/>
          </w:pPr>
          <w:r w:rsidRPr="00B844FE">
            <w:t>Enter Sponsors Here</w:t>
          </w:r>
        </w:p>
      </w:docPartBody>
    </w:docPart>
    <w:docPart>
      <w:docPartPr>
        <w:name w:val="3A76A94DC6394002A68B673465DCA4C7"/>
        <w:category>
          <w:name w:val="General"/>
          <w:gallery w:val="placeholder"/>
        </w:category>
        <w:types>
          <w:type w:val="bbPlcHdr"/>
        </w:types>
        <w:behaviors>
          <w:behavior w:val="content"/>
        </w:behaviors>
        <w:guid w:val="{3BCB0308-8F58-400A-8432-ABB18CD3C135}"/>
      </w:docPartPr>
      <w:docPartBody>
        <w:p w:rsidR="00E10D5E" w:rsidRDefault="00E10D5E">
          <w:pPr>
            <w:pStyle w:val="3A76A94DC6394002A68B673465DCA4C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D5E"/>
    <w:rsid w:val="00E10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29F605AEF7A4F2096DD61EEF6DFE99E">
    <w:name w:val="829F605AEF7A4F2096DD61EEF6DFE99E"/>
  </w:style>
  <w:style w:type="paragraph" w:customStyle="1" w:styleId="5E5EDABB0E254F388AC86D3DCCE3EB80">
    <w:name w:val="5E5EDABB0E254F388AC86D3DCCE3EB80"/>
  </w:style>
  <w:style w:type="paragraph" w:customStyle="1" w:styleId="3CBC12FCCD2B4729A2C3D808F45B8620">
    <w:name w:val="3CBC12FCCD2B4729A2C3D808F45B8620"/>
  </w:style>
  <w:style w:type="paragraph" w:customStyle="1" w:styleId="C8F70BD3800A4C848A0BF31A03A116EA">
    <w:name w:val="C8F70BD3800A4C848A0BF31A03A116EA"/>
  </w:style>
  <w:style w:type="character" w:styleId="PlaceholderText">
    <w:name w:val="Placeholder Text"/>
    <w:basedOn w:val="DefaultParagraphFont"/>
    <w:uiPriority w:val="99"/>
    <w:semiHidden/>
    <w:rPr>
      <w:color w:val="808080"/>
    </w:rPr>
  </w:style>
  <w:style w:type="paragraph" w:customStyle="1" w:styleId="3A76A94DC6394002A68B673465DCA4C7">
    <w:name w:val="3A76A94DC6394002A68B673465DCA4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16</TotalTime>
  <Pages>4</Pages>
  <Words>626</Words>
  <Characters>3784</Characters>
  <Application>Microsoft Office Word</Application>
  <DocSecurity>0</DocSecurity>
  <Lines>252</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11</cp:revision>
  <dcterms:created xsi:type="dcterms:W3CDTF">2023-12-12T16:05:00Z</dcterms:created>
  <dcterms:modified xsi:type="dcterms:W3CDTF">2024-01-12T02:14:00Z</dcterms:modified>
</cp:coreProperties>
</file>