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F335" w14:textId="77777777" w:rsidR="00FE067E" w:rsidRPr="004950CA" w:rsidRDefault="00CD36CF" w:rsidP="00CC1F3B">
      <w:pPr>
        <w:pStyle w:val="TitlePageOrigin"/>
        <w:rPr>
          <w:color w:val="auto"/>
        </w:rPr>
      </w:pPr>
      <w:r w:rsidRPr="004950CA">
        <w:rPr>
          <w:color w:val="auto"/>
        </w:rPr>
        <w:t>WEST virginia legislature</w:t>
      </w:r>
    </w:p>
    <w:p w14:paraId="16AB1997" w14:textId="77777777" w:rsidR="00CD36CF" w:rsidRPr="004950CA" w:rsidRDefault="00CD36CF" w:rsidP="00CC1F3B">
      <w:pPr>
        <w:pStyle w:val="TitlePageSession"/>
        <w:rPr>
          <w:color w:val="auto"/>
        </w:rPr>
      </w:pPr>
      <w:r w:rsidRPr="004950CA">
        <w:rPr>
          <w:color w:val="auto"/>
        </w:rPr>
        <w:t>20</w:t>
      </w:r>
      <w:r w:rsidR="007F29DD" w:rsidRPr="004950CA">
        <w:rPr>
          <w:color w:val="auto"/>
        </w:rPr>
        <w:t>2</w:t>
      </w:r>
      <w:r w:rsidR="00AB0024" w:rsidRPr="004950CA">
        <w:rPr>
          <w:color w:val="auto"/>
        </w:rPr>
        <w:t>4</w:t>
      </w:r>
      <w:r w:rsidRPr="004950CA">
        <w:rPr>
          <w:color w:val="auto"/>
        </w:rPr>
        <w:t xml:space="preserve"> regular session</w:t>
      </w:r>
    </w:p>
    <w:p w14:paraId="3D016775" w14:textId="77777777" w:rsidR="00CD36CF" w:rsidRPr="004950CA" w:rsidRDefault="0040627A" w:rsidP="00CC1F3B">
      <w:pPr>
        <w:pStyle w:val="TitlePageBillPrefix"/>
        <w:rPr>
          <w:color w:val="auto"/>
        </w:rPr>
      </w:pPr>
      <w:sdt>
        <w:sdtPr>
          <w:rPr>
            <w:color w:val="auto"/>
          </w:rPr>
          <w:tag w:val="IntroDate"/>
          <w:id w:val="-1236936958"/>
          <w:placeholder>
            <w:docPart w:val="98D83F0D70544CDC88703D012EC5D854"/>
          </w:placeholder>
          <w:text/>
        </w:sdtPr>
        <w:sdtEndPr/>
        <w:sdtContent>
          <w:r w:rsidR="00AE48A0" w:rsidRPr="004950CA">
            <w:rPr>
              <w:color w:val="auto"/>
            </w:rPr>
            <w:t>Introduced</w:t>
          </w:r>
        </w:sdtContent>
      </w:sdt>
    </w:p>
    <w:p w14:paraId="79EAD6C8" w14:textId="164B25A5" w:rsidR="00CD36CF" w:rsidRPr="004950CA" w:rsidRDefault="0040627A" w:rsidP="00CC1F3B">
      <w:pPr>
        <w:pStyle w:val="BillNumber"/>
        <w:rPr>
          <w:color w:val="auto"/>
        </w:rPr>
      </w:pPr>
      <w:sdt>
        <w:sdtPr>
          <w:rPr>
            <w:color w:val="auto"/>
          </w:rPr>
          <w:tag w:val="Chamber"/>
          <w:id w:val="893011969"/>
          <w:lock w:val="sdtLocked"/>
          <w:placeholder>
            <w:docPart w:val="24D5FAADE3C04FA8ACAA48E15D26626B"/>
          </w:placeholder>
          <w:dropDownList>
            <w:listItem w:displayText="House" w:value="House"/>
            <w:listItem w:displayText="Senate" w:value="Senate"/>
          </w:dropDownList>
        </w:sdtPr>
        <w:sdtEndPr/>
        <w:sdtContent>
          <w:r w:rsidR="005D7E17" w:rsidRPr="004950CA">
            <w:rPr>
              <w:color w:val="auto"/>
            </w:rPr>
            <w:t>Senate</w:t>
          </w:r>
        </w:sdtContent>
      </w:sdt>
      <w:r w:rsidR="00303684" w:rsidRPr="004950CA">
        <w:rPr>
          <w:color w:val="auto"/>
        </w:rPr>
        <w:t xml:space="preserve"> </w:t>
      </w:r>
      <w:r w:rsidR="00CD36CF" w:rsidRPr="004950CA">
        <w:rPr>
          <w:color w:val="auto"/>
        </w:rPr>
        <w:t xml:space="preserve">Bill </w:t>
      </w:r>
      <w:sdt>
        <w:sdtPr>
          <w:rPr>
            <w:color w:val="auto"/>
          </w:rPr>
          <w:tag w:val="BNum"/>
          <w:id w:val="1645317809"/>
          <w:lock w:val="sdtLocked"/>
          <w:placeholder>
            <w:docPart w:val="65182B7A742445088B6E3441A22A67EA"/>
          </w:placeholder>
          <w:text/>
        </w:sdtPr>
        <w:sdtEndPr/>
        <w:sdtContent>
          <w:r w:rsidR="008B0563">
            <w:rPr>
              <w:color w:val="auto"/>
            </w:rPr>
            <w:t>531</w:t>
          </w:r>
        </w:sdtContent>
      </w:sdt>
    </w:p>
    <w:p w14:paraId="413EAA59" w14:textId="66AC8633" w:rsidR="00CD36CF" w:rsidRPr="004950CA" w:rsidRDefault="00CD36CF" w:rsidP="00CC1F3B">
      <w:pPr>
        <w:pStyle w:val="Sponsors"/>
        <w:rPr>
          <w:color w:val="auto"/>
        </w:rPr>
      </w:pPr>
      <w:r w:rsidRPr="004950CA">
        <w:rPr>
          <w:color w:val="auto"/>
        </w:rPr>
        <w:t xml:space="preserve">By </w:t>
      </w:r>
      <w:sdt>
        <w:sdtPr>
          <w:rPr>
            <w:color w:val="auto"/>
          </w:rPr>
          <w:tag w:val="Sponsors"/>
          <w:id w:val="1589585889"/>
          <w:placeholder>
            <w:docPart w:val="BCC470E483CC437C9441CAC2EBE236D7"/>
          </w:placeholder>
          <w:text w:multiLine="1"/>
        </w:sdtPr>
        <w:sdtEndPr/>
        <w:sdtContent>
          <w:r w:rsidR="00346939" w:rsidRPr="004950CA">
            <w:rPr>
              <w:color w:val="auto"/>
            </w:rPr>
            <w:t>S</w:t>
          </w:r>
          <w:r w:rsidR="004D3533" w:rsidRPr="004950CA">
            <w:rPr>
              <w:color w:val="auto"/>
            </w:rPr>
            <w:t>enator</w:t>
          </w:r>
          <w:r w:rsidR="00F3127D">
            <w:rPr>
              <w:color w:val="auto"/>
            </w:rPr>
            <w:t>s</w:t>
          </w:r>
          <w:r w:rsidR="004D3533" w:rsidRPr="004950CA">
            <w:rPr>
              <w:color w:val="auto"/>
            </w:rPr>
            <w:t xml:space="preserve"> </w:t>
          </w:r>
          <w:r w:rsidR="0040627A" w:rsidRPr="004950CA">
            <w:rPr>
              <w:color w:val="auto"/>
            </w:rPr>
            <w:t>Rucker</w:t>
          </w:r>
          <w:r w:rsidR="0040627A">
            <w:rPr>
              <w:color w:val="auto"/>
            </w:rPr>
            <w:t>, Takubo, and Maroney</w:t>
          </w:r>
        </w:sdtContent>
      </w:sdt>
    </w:p>
    <w:p w14:paraId="1C19DD32" w14:textId="01EAD909" w:rsidR="00E831B3" w:rsidRPr="004950CA" w:rsidRDefault="004D3533" w:rsidP="00CC1F3B">
      <w:pPr>
        <w:pStyle w:val="References"/>
        <w:rPr>
          <w:color w:val="auto"/>
        </w:rPr>
      </w:pPr>
      <w:r w:rsidRPr="004950CA">
        <w:rPr>
          <w:color w:val="auto"/>
        </w:rPr>
        <w:t>[Introduced</w:t>
      </w:r>
      <w:r w:rsidR="008B0563">
        <w:rPr>
          <w:color w:val="auto"/>
        </w:rPr>
        <w:t xml:space="preserve"> January 24, 2024</w:t>
      </w:r>
      <w:r w:rsidRPr="004950CA">
        <w:rPr>
          <w:color w:val="auto"/>
        </w:rPr>
        <w:t>; referred</w:t>
      </w:r>
    </w:p>
    <w:p w14:paraId="7929CC87" w14:textId="604EB7A1" w:rsidR="004D3533" w:rsidRPr="004950CA" w:rsidRDefault="00143720" w:rsidP="00CC1F3B">
      <w:pPr>
        <w:pStyle w:val="References"/>
        <w:rPr>
          <w:color w:val="auto"/>
        </w:rPr>
      </w:pPr>
      <w:r w:rsidRPr="004950CA">
        <w:rPr>
          <w:color w:val="auto"/>
        </w:rPr>
        <w:t>t</w:t>
      </w:r>
      <w:r w:rsidR="004D3533" w:rsidRPr="004950CA">
        <w:rPr>
          <w:color w:val="auto"/>
        </w:rPr>
        <w:t>o the Committee on</w:t>
      </w:r>
      <w:r w:rsidR="00541214">
        <w:rPr>
          <w:color w:val="auto"/>
        </w:rPr>
        <w:t xml:space="preserve"> School Choice; and then to the Committee on Finance</w:t>
      </w:r>
      <w:r w:rsidR="004D3533" w:rsidRPr="004950CA">
        <w:rPr>
          <w:color w:val="auto"/>
        </w:rPr>
        <w:t>]</w:t>
      </w:r>
    </w:p>
    <w:p w14:paraId="274777DF" w14:textId="03B4EAD6" w:rsidR="00303684" w:rsidRPr="004950CA" w:rsidRDefault="0000526A" w:rsidP="00CC1F3B">
      <w:pPr>
        <w:pStyle w:val="TitleSection"/>
        <w:rPr>
          <w:color w:val="auto"/>
        </w:rPr>
      </w:pPr>
      <w:r w:rsidRPr="004950CA">
        <w:rPr>
          <w:color w:val="auto"/>
        </w:rPr>
        <w:lastRenderedPageBreak/>
        <w:t>A BILL</w:t>
      </w:r>
      <w:r w:rsidR="00D6176F" w:rsidRPr="004950CA">
        <w:rPr>
          <w:color w:val="auto"/>
        </w:rPr>
        <w:t xml:space="preserve"> to amend and reenact </w:t>
      </w:r>
      <w:r w:rsidR="00D6176F" w:rsidRPr="004950CA">
        <w:rPr>
          <w:rFonts w:cs="Arial"/>
          <w:color w:val="auto"/>
        </w:rPr>
        <w:t>§</w:t>
      </w:r>
      <w:r w:rsidR="00D6176F" w:rsidRPr="004950CA">
        <w:rPr>
          <w:color w:val="auto"/>
        </w:rPr>
        <w:t>18-5G-3 of the Code of West Virginia, 1931, as amended</w:t>
      </w:r>
      <w:r w:rsidR="008B0563">
        <w:rPr>
          <w:color w:val="auto"/>
        </w:rPr>
        <w:t>;</w:t>
      </w:r>
      <w:r w:rsidR="00D6176F" w:rsidRPr="004950CA">
        <w:rPr>
          <w:color w:val="auto"/>
        </w:rPr>
        <w:t xml:space="preserve"> and to amend and reenact </w:t>
      </w:r>
      <w:r w:rsidR="00D6176F" w:rsidRPr="004950CA">
        <w:rPr>
          <w:rFonts w:cs="Arial"/>
          <w:color w:val="auto"/>
        </w:rPr>
        <w:t>§</w:t>
      </w:r>
      <w:r w:rsidR="00D6176F" w:rsidRPr="004950CA">
        <w:rPr>
          <w:color w:val="auto"/>
        </w:rPr>
        <w:t xml:space="preserve">18-31-8 of said code, all relating to allowing </w:t>
      </w:r>
      <w:r w:rsidR="00FA118F" w:rsidRPr="004950CA">
        <w:rPr>
          <w:color w:val="auto"/>
        </w:rPr>
        <w:t xml:space="preserve">charter schools to charge Hope Scholarship students for classes the students enroll in at the charter school. </w:t>
      </w:r>
    </w:p>
    <w:p w14:paraId="789246A2" w14:textId="7188AEA0" w:rsidR="004D3533" w:rsidRPr="004950CA" w:rsidRDefault="00303684" w:rsidP="004D3533">
      <w:pPr>
        <w:pStyle w:val="EnactingClause"/>
        <w:rPr>
          <w:rFonts w:cs="Times New Roman"/>
          <w:b/>
          <w:color w:val="auto"/>
        </w:rPr>
      </w:pPr>
      <w:r w:rsidRPr="004950CA">
        <w:rPr>
          <w:color w:val="auto"/>
        </w:rPr>
        <w:t>Be it enacted by the Legislature of West Virginia:</w:t>
      </w:r>
      <w:r w:rsidR="004D3533" w:rsidRPr="004950CA">
        <w:rPr>
          <w:rFonts w:cs="Times New Roman"/>
          <w:b/>
          <w:color w:val="auto"/>
        </w:rPr>
        <w:t xml:space="preserve"> </w:t>
      </w:r>
    </w:p>
    <w:p w14:paraId="4F26B570" w14:textId="77777777" w:rsidR="004D3533" w:rsidRPr="004950CA" w:rsidRDefault="004D3533" w:rsidP="00FA5732">
      <w:pPr>
        <w:suppressLineNumbers/>
        <w:ind w:left="720" w:hanging="720"/>
        <w:jc w:val="both"/>
        <w:outlineLvl w:val="3"/>
        <w:rPr>
          <w:rFonts w:eastAsia="Calibri" w:cs="Times New Roman"/>
          <w:b/>
          <w:color w:val="auto"/>
        </w:rPr>
        <w:sectPr w:rsidR="004D3533" w:rsidRPr="004950CA" w:rsidSect="00BC6C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8AF546" w14:textId="77777777" w:rsidR="004D3533" w:rsidRPr="004950CA" w:rsidRDefault="004D3533" w:rsidP="007B3960">
      <w:pPr>
        <w:pStyle w:val="ArticleHeading"/>
        <w:widowControl/>
        <w:rPr>
          <w:color w:val="auto"/>
        </w:rPr>
      </w:pPr>
      <w:r w:rsidRPr="004950CA">
        <w:rPr>
          <w:color w:val="auto"/>
        </w:rPr>
        <w:t>ARTICLE 5G. PUBLIC CHARTER SCHOOLs.</w:t>
      </w:r>
    </w:p>
    <w:p w14:paraId="1C3904A6" w14:textId="26E349C8" w:rsidR="009C6B0D" w:rsidRPr="004950CA" w:rsidRDefault="009C6B0D" w:rsidP="00FA5732">
      <w:pPr>
        <w:suppressLineNumbers/>
        <w:ind w:left="720" w:hanging="720"/>
        <w:jc w:val="both"/>
        <w:outlineLvl w:val="3"/>
        <w:rPr>
          <w:rFonts w:eastAsia="Calibri" w:cs="Times New Roman"/>
          <w:b/>
          <w:color w:val="auto"/>
        </w:rPr>
      </w:pPr>
      <w:r w:rsidRPr="004950CA">
        <w:rPr>
          <w:rFonts w:eastAsia="Calibri" w:cs="Times New Roman"/>
          <w:b/>
          <w:color w:val="auto"/>
        </w:rPr>
        <w:t>§18-5G-3. Public charter school criteria, governance structure and statutory compliance requirements; applicable federal and state laws.</w:t>
      </w:r>
    </w:p>
    <w:p w14:paraId="52740934" w14:textId="77777777" w:rsidR="009C6B0D" w:rsidRPr="004950CA" w:rsidRDefault="009C6B0D" w:rsidP="00FA5732">
      <w:pPr>
        <w:ind w:firstLine="720"/>
        <w:jc w:val="both"/>
        <w:rPr>
          <w:rFonts w:eastAsia="Calibri" w:cs="Times New Roman"/>
          <w:color w:val="auto"/>
        </w:rPr>
        <w:sectPr w:rsidR="009C6B0D" w:rsidRPr="004950CA" w:rsidSect="004D3533">
          <w:type w:val="continuous"/>
          <w:pgSz w:w="12240" w:h="15840" w:code="1"/>
          <w:pgMar w:top="1440" w:right="1440" w:bottom="1440" w:left="1440" w:header="720" w:footer="720" w:gutter="0"/>
          <w:lnNumType w:countBy="1" w:restart="newSection"/>
          <w:cols w:space="720"/>
          <w:titlePg/>
          <w:docGrid w:linePitch="360"/>
        </w:sectPr>
      </w:pPr>
    </w:p>
    <w:p w14:paraId="4891F2DF"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(a) Public charter schools authorized pursuant to this article shall meet the following general criteria:</w:t>
      </w:r>
    </w:p>
    <w:p w14:paraId="221F2CD4" w14:textId="710FF207" w:rsidR="009C6B0D" w:rsidRPr="004950CA" w:rsidRDefault="009C6B0D" w:rsidP="00FA5732">
      <w:pPr>
        <w:ind w:firstLine="720"/>
        <w:jc w:val="both"/>
        <w:rPr>
          <w:rFonts w:eastAsia="Calibri" w:cs="Times New Roman"/>
          <w:color w:val="auto"/>
        </w:rPr>
      </w:pPr>
      <w:r w:rsidRPr="004950CA">
        <w:rPr>
          <w:rFonts w:eastAsia="Calibri" w:cs="Times New Roman"/>
          <w:color w:val="auto"/>
        </w:rPr>
        <w:t>(1) Are part of the state</w:t>
      </w:r>
      <w:r w:rsidR="00707BCC" w:rsidRPr="004950CA">
        <w:rPr>
          <w:rFonts w:eastAsia="Calibri" w:cs="Times New Roman"/>
          <w:color w:val="auto"/>
        </w:rPr>
        <w:t>'</w:t>
      </w:r>
      <w:r w:rsidRPr="004950CA">
        <w:rPr>
          <w:rFonts w:eastAsia="Calibri" w:cs="Times New Roman"/>
          <w:color w:val="auto"/>
        </w:rPr>
        <w:t xml:space="preserve">s system of public schools and are subject to general supervision by the West Virginia Board of Education for meeting the student performance standards required of other public school students under </w:t>
      </w:r>
      <w:r w:rsidRPr="004950CA">
        <w:rPr>
          <w:rFonts w:eastAsia="Calibri" w:cs="Arial"/>
          <w:color w:val="auto"/>
        </w:rPr>
        <w:t>§</w:t>
      </w:r>
      <w:r w:rsidRPr="004950CA">
        <w:rPr>
          <w:rFonts w:eastAsia="Calibri" w:cs="Times New Roman"/>
          <w:color w:val="auto"/>
        </w:rPr>
        <w:t xml:space="preserve">18-2E-5(d) and (e) of this code; </w:t>
      </w:r>
    </w:p>
    <w:p w14:paraId="2107965C" w14:textId="4E7FEA12" w:rsidR="009C6B0D" w:rsidRPr="004950CA" w:rsidRDefault="009C6B0D" w:rsidP="00FA5732">
      <w:pPr>
        <w:ind w:firstLine="720"/>
        <w:jc w:val="both"/>
        <w:rPr>
          <w:rFonts w:eastAsia="Calibri" w:cs="Times New Roman"/>
          <w:color w:val="auto"/>
        </w:rPr>
      </w:pPr>
      <w:r w:rsidRPr="004950CA">
        <w:rPr>
          <w:rFonts w:eastAsia="Calibri" w:cs="Times New Roman"/>
          <w:color w:val="auto"/>
        </w:rPr>
        <w:t>(2) Are subject to the oversight of the school</w:t>
      </w:r>
      <w:r w:rsidR="00707BCC" w:rsidRPr="004950CA">
        <w:rPr>
          <w:rFonts w:eastAsia="Calibri" w:cs="Times New Roman"/>
          <w:color w:val="auto"/>
        </w:rPr>
        <w:t>'</w:t>
      </w:r>
      <w:r w:rsidRPr="004950CA">
        <w:rPr>
          <w:rFonts w:eastAsia="Calibri" w:cs="Times New Roman"/>
          <w:color w:val="auto"/>
        </w:rPr>
        <w:t xml:space="preserve">s authorizer for operating in accordance with its </w:t>
      </w:r>
      <w:r w:rsidRPr="004950CA">
        <w:rPr>
          <w:rFonts w:eastAsia="Calibri" w:cs="Arial"/>
          <w:color w:val="auto"/>
          <w:sz w:val="24"/>
        </w:rPr>
        <w:t>approved charter contract</w:t>
      </w:r>
      <w:r w:rsidRPr="004950CA">
        <w:rPr>
          <w:rFonts w:eastAsia="Calibri" w:cs="Times New Roman"/>
          <w:color w:val="auto"/>
        </w:rPr>
        <w:t xml:space="preserve"> and for meeting the terms and performance standards established in the charter contract; </w:t>
      </w:r>
    </w:p>
    <w:p w14:paraId="3B201CFE"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(3) Are not home school-based;</w:t>
      </w:r>
    </w:p>
    <w:p w14:paraId="5A050062"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(4) Are not affiliated with or espouse any specific religious denomination, organization, sect, or belief and do not promote or engage in any religious practices in their educational program, admissions, employment policies, or operations;</w:t>
      </w:r>
    </w:p>
    <w:p w14:paraId="0CEC8DB7"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A055E59"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(6) Are public schools to which parents or legal guardians choose to send their child or children;</w:t>
      </w:r>
    </w:p>
    <w:p w14:paraId="6B01775D" w14:textId="0772D200" w:rsidR="009C6B0D" w:rsidRPr="004950CA" w:rsidRDefault="009C6B0D" w:rsidP="00FA5732">
      <w:pPr>
        <w:ind w:firstLine="720"/>
        <w:jc w:val="both"/>
        <w:rPr>
          <w:rFonts w:eastAsia="Calibri" w:cs="Times New Roman"/>
          <w:color w:val="auto"/>
        </w:rPr>
      </w:pPr>
      <w:r w:rsidRPr="004950CA">
        <w:rPr>
          <w:rFonts w:eastAsia="Calibri" w:cs="Times New Roman"/>
          <w:color w:val="auto"/>
        </w:rPr>
        <w:lastRenderedPageBreak/>
        <w:t>(7) Do not charge tuition</w:t>
      </w:r>
      <w:r w:rsidRPr="004950CA">
        <w:rPr>
          <w:rFonts w:eastAsia="Calibri" w:cs="Times New Roman"/>
          <w:color w:val="auto"/>
          <w:u w:val="single"/>
        </w:rPr>
        <w:t xml:space="preserve">, except as permitted in accordance with </w:t>
      </w:r>
      <w:r w:rsidRPr="004950CA">
        <w:rPr>
          <w:rFonts w:eastAsia="Calibri" w:cs="Arial"/>
          <w:color w:val="auto"/>
          <w:u w:val="single"/>
        </w:rPr>
        <w:t>§</w:t>
      </w:r>
      <w:r w:rsidRPr="004950CA">
        <w:rPr>
          <w:rFonts w:eastAsia="Calibri" w:cs="Times New Roman"/>
          <w:color w:val="auto"/>
          <w:u w:val="single"/>
        </w:rPr>
        <w:t>18-31-8(f) of this code,</w:t>
      </w:r>
      <w:r w:rsidRPr="004950CA">
        <w:rPr>
          <w:rFonts w:eastAsia="Calibri" w:cs="Times New Roman"/>
          <w:color w:val="auto"/>
        </w:rPr>
        <w:t xml:space="preserve"> and may only charge such fees as may be imposed by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in this state; and</w:t>
      </w:r>
    </w:p>
    <w:p w14:paraId="324D0E5E"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(8) Have no requirements that would exclude any child from enrollment who would not be excluded at a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w:t>
      </w:r>
    </w:p>
    <w:p w14:paraId="512CEF0F"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(b) A public charter school authorized pursuant to this article shall be governed by a board that meets the requirements established in </w:t>
      </w:r>
      <w:r w:rsidRPr="004950CA">
        <w:rPr>
          <w:rFonts w:eastAsia="Calibri" w:cs="Arial"/>
          <w:color w:val="auto"/>
        </w:rPr>
        <w:t>§</w:t>
      </w:r>
      <w:r w:rsidRPr="004950CA">
        <w:rPr>
          <w:rFonts w:eastAsia="Calibri" w:cs="Times New Roman"/>
          <w:color w:val="auto"/>
        </w:rPr>
        <w:t xml:space="preserve">18-5G-7 of this code and:       </w:t>
      </w:r>
      <w:r w:rsidRPr="004950CA">
        <w:rPr>
          <w:rFonts w:eastAsia="Calibri" w:cs="Arial"/>
          <w:color w:val="auto"/>
          <w:sz w:val="24"/>
        </w:rPr>
        <w:t xml:space="preserve"> </w:t>
      </w:r>
    </w:p>
    <w:p w14:paraId="43DBF428"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(1) Has autonomy over key decisions, including, but not limited to, decisions concerning finance, personnel, scheduling, curriculum, and instruction except as provided in this article;</w:t>
      </w:r>
    </w:p>
    <w:p w14:paraId="683276F9"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(2) Has no power to levy taxes;</w:t>
      </w:r>
    </w:p>
    <w:p w14:paraId="730B237E"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(3) Operates in pursuit of a specific set of educational objectives as defined in its charter contract;</w:t>
      </w:r>
    </w:p>
    <w:p w14:paraId="0D5D8E57"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(4) Provides a program of public education that:</w:t>
      </w:r>
    </w:p>
    <w:p w14:paraId="592A52EE"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w:t>
      </w:r>
    </w:p>
    <w:p w14:paraId="47BC5E8F"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(B) May include in its mission a specific focus on students with special needs, including, but not limited to, at-risk students, English language learners, students with severe disciplinary problems at a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 or students involved with the juvenile justice system; and</w:t>
      </w:r>
    </w:p>
    <w:p w14:paraId="20847595"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(C) May include a specific academic approach or theme including, but not limited to, approaches or themes such as STEM education, mastery-based education, early college, or fine and performing arts;</w:t>
      </w:r>
    </w:p>
    <w:p w14:paraId="149FA29C"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(5) Provides programs and services to a student with a disability in accordance with the student’s individualized education program and all federal and state laws, regulations, rules and </w:t>
      </w:r>
      <w:r w:rsidRPr="004950CA">
        <w:rPr>
          <w:rFonts w:eastAsia="Calibri" w:cs="Times New Roman"/>
          <w:color w:val="auto"/>
        </w:rPr>
        <w:lastRenderedPageBreak/>
        <w:t>policies. A charter school shall deliver the services directly or contract with a county board or another provider to deliver the services as set forth in its charter contract;</w:t>
      </w:r>
    </w:p>
    <w:p w14:paraId="4B2DE71B"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 (6) Is eligible to participate in state-sponsored or district-sponsored athletic and academic interscholastic leagues, competitions, awards, scholarships, and recognition programs for students, educators, administrators, and schools to the same extent as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w:t>
      </w:r>
    </w:p>
    <w:p w14:paraId="3B07C5A2" w14:textId="2BC4B6BE"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 (7) Employs its own personnel as employees of the public charter school and is ultimately responsible for processing employee paychecks, managing its employees</w:t>
      </w:r>
      <w:r w:rsidR="00707BCC" w:rsidRPr="004950CA">
        <w:rPr>
          <w:rFonts w:eastAsia="Calibri" w:cs="Times New Roman"/>
          <w:color w:val="auto"/>
        </w:rPr>
        <w:t>'</w:t>
      </w:r>
      <w:r w:rsidRPr="004950CA">
        <w:rPr>
          <w:rFonts w:eastAsia="Calibri" w:cs="Times New Roman"/>
          <w:color w:val="auto"/>
        </w:rPr>
        <w:t xml:space="preserve"> participation in the applicable retirement system, and managing its employees</w:t>
      </w:r>
      <w:r w:rsidR="00707BCC" w:rsidRPr="004950CA">
        <w:rPr>
          <w:rFonts w:eastAsia="Calibri" w:cs="Times New Roman"/>
          <w:color w:val="auto"/>
        </w:rPr>
        <w:t>'</w:t>
      </w:r>
      <w:r w:rsidRPr="004950CA">
        <w:rPr>
          <w:rFonts w:eastAsia="Calibri" w:cs="Times New Roman"/>
          <w:color w:val="auto"/>
        </w:rPr>
        <w:t xml:space="preserve"> participation in insurance plans: </w:t>
      </w:r>
      <w:r w:rsidRPr="004950CA">
        <w:rPr>
          <w:rFonts w:eastAsia="Calibri" w:cs="Times New Roman"/>
          <w:i/>
          <w:iCs/>
          <w:color w:val="auto"/>
        </w:rPr>
        <w:t xml:space="preserve">Provided, </w:t>
      </w:r>
      <w:r w:rsidRPr="004950CA">
        <w:rPr>
          <w:rFonts w:eastAsia="Calibri" w:cs="Times New Roman"/>
          <w:color w:val="auto"/>
        </w:rPr>
        <w:t>That nothing in this subdivision prohibits the public charter school from contracting with another person or entity to perform services relating to managing its employees</w:t>
      </w:r>
      <w:r w:rsidR="00707BCC" w:rsidRPr="004950CA">
        <w:rPr>
          <w:rFonts w:eastAsia="Calibri" w:cs="Times New Roman"/>
          <w:color w:val="auto"/>
        </w:rPr>
        <w:t>'</w:t>
      </w:r>
      <w:r w:rsidRPr="004950CA">
        <w:rPr>
          <w:rFonts w:eastAsia="Calibri" w:cs="Times New Roman"/>
          <w:color w:val="auto"/>
        </w:rPr>
        <w:t xml:space="preserve">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 in the county for purposes of employment in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and</w:t>
      </w:r>
    </w:p>
    <w:p w14:paraId="3435B4FD"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0B6D1F49"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(c) A public charter school authorized pursuant to this article </w:t>
      </w:r>
      <w:r w:rsidRPr="004950CA">
        <w:rPr>
          <w:rFonts w:eastAsia="Calibri" w:cs="Arial"/>
          <w:color w:val="auto"/>
          <w:sz w:val="24"/>
        </w:rPr>
        <w:t>i</w:t>
      </w:r>
      <w:r w:rsidRPr="004950CA">
        <w:rPr>
          <w:rFonts w:eastAsia="Calibri" w:cs="Times New Roman"/>
          <w:color w:val="auto"/>
        </w:rPr>
        <w:t xml:space="preserve">s exempt from all statutes and rules applicable to a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 or board of education except the following:</w:t>
      </w:r>
    </w:p>
    <w:p w14:paraId="7455F108"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lastRenderedPageBreak/>
        <w:t xml:space="preserve">(1) All federal laws and authorities applicable to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in this state including, but not limited to, the same federal nutrition standards, the same civil rights, disability rights and health, life and safety requirements applicable to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in this state;</w:t>
      </w:r>
    </w:p>
    <w:p w14:paraId="200CC4FB"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(2) The provisions of </w:t>
      </w:r>
      <w:r w:rsidRPr="004950CA">
        <w:rPr>
          <w:rFonts w:eastAsia="Calibri" w:cs="Arial"/>
          <w:color w:val="auto"/>
        </w:rPr>
        <w:t>§</w:t>
      </w:r>
      <w:r w:rsidRPr="004950CA">
        <w:rPr>
          <w:rFonts w:eastAsia="Calibri" w:cs="Times New Roman"/>
          <w:color w:val="auto"/>
        </w:rPr>
        <w:t xml:space="preserve">29B-1-1 </w:t>
      </w:r>
      <w:r w:rsidRPr="004950CA">
        <w:rPr>
          <w:rFonts w:eastAsia="Calibri" w:cs="Times New Roman"/>
          <w:i/>
          <w:color w:val="auto"/>
        </w:rPr>
        <w:t xml:space="preserve">et seq. </w:t>
      </w:r>
      <w:r w:rsidRPr="004950CA">
        <w:rPr>
          <w:rFonts w:eastAsia="Calibri" w:cs="Times New Roman"/>
          <w:color w:val="auto"/>
        </w:rPr>
        <w:t xml:space="preserve">of this code relating to freedom of information and the provisions of </w:t>
      </w:r>
      <w:r w:rsidRPr="004950CA">
        <w:rPr>
          <w:rFonts w:eastAsia="Calibri" w:cs="Arial"/>
          <w:color w:val="auto"/>
        </w:rPr>
        <w:t>§</w:t>
      </w:r>
      <w:r w:rsidRPr="004950CA">
        <w:rPr>
          <w:rFonts w:eastAsia="Calibri" w:cs="Times New Roman"/>
          <w:color w:val="auto"/>
        </w:rPr>
        <w:t xml:space="preserve">6-9A-1 </w:t>
      </w:r>
      <w:r w:rsidRPr="004950CA">
        <w:rPr>
          <w:rFonts w:eastAsia="Calibri" w:cs="Times New Roman"/>
          <w:i/>
          <w:color w:val="auto"/>
        </w:rPr>
        <w:t xml:space="preserve">et seq. </w:t>
      </w:r>
      <w:r w:rsidRPr="004950CA">
        <w:rPr>
          <w:rFonts w:eastAsia="Calibri" w:cs="Times New Roman"/>
          <w:color w:val="auto"/>
        </w:rPr>
        <w:t>of this code relating to open governmental proceedings;</w:t>
      </w:r>
    </w:p>
    <w:p w14:paraId="24ED9B71"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(3) The same immunization requirements </w:t>
      </w:r>
      <w:bookmarkStart w:id="0" w:name="_Hlk10037606"/>
      <w:r w:rsidRPr="004950CA">
        <w:rPr>
          <w:rFonts w:eastAsia="Calibri" w:cs="Times New Roman"/>
          <w:color w:val="auto"/>
        </w:rPr>
        <w:t xml:space="preserve">applicable to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w:t>
      </w:r>
      <w:bookmarkEnd w:id="0"/>
      <w:r w:rsidRPr="004950CA">
        <w:rPr>
          <w:rFonts w:eastAsia="Calibri" w:cs="Times New Roman"/>
          <w:color w:val="auto"/>
        </w:rPr>
        <w:t xml:space="preserve">; </w:t>
      </w:r>
    </w:p>
    <w:p w14:paraId="4A70F1C0"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(4) The same compulsory school attendance requirements applicable to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w:t>
      </w:r>
    </w:p>
    <w:p w14:paraId="69F73953"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(5) The same minimum number of days or an equivalent amount of instructional time per year as required of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 students under </w:t>
      </w:r>
      <w:r w:rsidRPr="004950CA">
        <w:rPr>
          <w:rFonts w:eastAsia="Calibri" w:cs="Arial"/>
          <w:color w:val="auto"/>
        </w:rPr>
        <w:t>§</w:t>
      </w:r>
      <w:r w:rsidRPr="004950CA">
        <w:rPr>
          <w:rFonts w:eastAsia="Calibri" w:cs="Times New Roman"/>
          <w:color w:val="auto"/>
        </w:rPr>
        <w:t>18-5-45 of this code;</w:t>
      </w:r>
    </w:p>
    <w:p w14:paraId="4C5F188B"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(6) The same student assessment requirements applicable to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in this state, but only to the extent that will allow the state board to measure the performance of public charter school students pursuant to </w:t>
      </w:r>
      <w:r w:rsidRPr="004950CA">
        <w:rPr>
          <w:rFonts w:eastAsia="Calibri" w:cs="Arial"/>
          <w:color w:val="auto"/>
        </w:rPr>
        <w:t>§</w:t>
      </w:r>
      <w:r w:rsidRPr="004950CA">
        <w:rPr>
          <w:rFonts w:eastAsia="Calibri" w:cs="Times New Roman"/>
          <w:color w:val="auto"/>
        </w:rPr>
        <w:t>18-2E-5(d) and (e) of this code.  Nothing precludes a public charter school from establishing additional student assessment measures that go beyond state requirements;</w:t>
      </w:r>
    </w:p>
    <w:p w14:paraId="773D5BD8"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(7) The Student Data Accessibility, Transparency and Accountability Act pursuant to </w:t>
      </w:r>
      <w:r w:rsidRPr="004950CA">
        <w:rPr>
          <w:rFonts w:eastAsia="Calibri" w:cs="Arial"/>
          <w:color w:val="auto"/>
        </w:rPr>
        <w:t>§</w:t>
      </w:r>
      <w:r w:rsidRPr="004950CA">
        <w:rPr>
          <w:rFonts w:eastAsia="Calibri" w:cs="Times New Roman"/>
          <w:color w:val="auto"/>
        </w:rPr>
        <w:t>18-2-5h of this code;</w:t>
      </w:r>
    </w:p>
    <w:p w14:paraId="07F95506"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(8) Use of the electronic education information system established by the West Virginia Department of Education for the purpose of reporting required information;</w:t>
      </w:r>
    </w:p>
    <w:p w14:paraId="033F7BDC" w14:textId="333C1161"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(9) Reporting information on student and school performance to parents, </w:t>
      </w:r>
      <w:r w:rsidR="00707BCC" w:rsidRPr="004950CA">
        <w:rPr>
          <w:rFonts w:eastAsia="Calibri" w:cs="Times New Roman"/>
          <w:color w:val="auto"/>
        </w:rPr>
        <w:t>policymakers</w:t>
      </w:r>
      <w:r w:rsidRPr="004950CA">
        <w:rPr>
          <w:rFonts w:eastAsia="Calibri" w:cs="Times New Roman"/>
          <w:color w:val="auto"/>
        </w:rPr>
        <w:t xml:space="preserve">, and the general public in the same manner as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357F4EA3" w14:textId="1145AE9D"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(10) All applicable accounting and financial reporting requirements as prescribed for public schools, including adherence to generally accepted accounting principles.  A public charter school </w:t>
      </w:r>
      <w:r w:rsidRPr="004950CA">
        <w:rPr>
          <w:rFonts w:eastAsia="Calibri" w:cs="Times New Roman"/>
          <w:color w:val="auto"/>
        </w:rPr>
        <w:lastRenderedPageBreak/>
        <w:t>shall annually engage an external auditor to perform an independent audit of the school</w:t>
      </w:r>
      <w:r w:rsidR="00707BCC" w:rsidRPr="004950CA">
        <w:rPr>
          <w:rFonts w:eastAsia="Calibri" w:cs="Times New Roman"/>
          <w:color w:val="auto"/>
        </w:rPr>
        <w:t>'</w:t>
      </w:r>
      <w:r w:rsidRPr="004950CA">
        <w:rPr>
          <w:rFonts w:eastAsia="Calibri" w:cs="Times New Roman"/>
          <w:color w:val="auto"/>
        </w:rPr>
        <w:t>s finances. The public charter school shall submit the audit to its authorizer and to the state superintendent of schools within nine months of the end of the fiscal year for which the audit is performed;</w:t>
      </w:r>
    </w:p>
    <w:p w14:paraId="6FF88108"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(11) A criminal history check pursuant to </w:t>
      </w:r>
      <w:r w:rsidRPr="004950CA">
        <w:rPr>
          <w:rFonts w:eastAsia="Calibri" w:cs="Arial"/>
          <w:color w:val="auto"/>
        </w:rPr>
        <w:t>§</w:t>
      </w:r>
      <w:r w:rsidRPr="004950CA">
        <w:rPr>
          <w:rFonts w:eastAsia="Calibri" w:cs="Times New Roman"/>
          <w:color w:val="auto"/>
        </w:rPr>
        <w:t xml:space="preserve">18A-3-10 of this code for any staff person that would be required if the person was employed in a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 unless a criminal history check has already been completed for that staff person pursuant to that section.  Governing board members and other public charter school personnel are subject to criminal history record checks and fingerprinting requirements applicable to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2B7AFB21"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(12) The same zoning rules for its facilities that apply to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in this state; </w:t>
      </w:r>
    </w:p>
    <w:p w14:paraId="2800F822" w14:textId="77777777" w:rsidR="009C6B0D" w:rsidRPr="004950CA" w:rsidRDefault="009C6B0D" w:rsidP="00FA5732">
      <w:pPr>
        <w:ind w:firstLine="720"/>
        <w:jc w:val="both"/>
        <w:rPr>
          <w:rFonts w:eastAsia="Calibri" w:cs="Times New Roman"/>
          <w:color w:val="auto"/>
        </w:rPr>
      </w:pPr>
      <w:r w:rsidRPr="004950CA">
        <w:rPr>
          <w:rFonts w:eastAsia="Calibri" w:cs="Times New Roman"/>
          <w:color w:val="auto"/>
        </w:rPr>
        <w:t xml:space="preserve">(13) The same building codes, regulations and fees for its facilities that apply to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in this state, including any inspections required for </w:t>
      </w:r>
      <w:proofErr w:type="spellStart"/>
      <w:r w:rsidRPr="004950CA">
        <w:rPr>
          <w:rFonts w:eastAsia="Calibri" w:cs="Times New Roman"/>
          <w:color w:val="auto"/>
        </w:rPr>
        <w:t>noncharter</w:t>
      </w:r>
      <w:proofErr w:type="spellEnd"/>
      <w:r w:rsidRPr="004950CA">
        <w:rPr>
          <w:rFonts w:eastAsia="Calibri" w:cs="Times New Roman"/>
          <w:color w:val="auto"/>
        </w:rPr>
        <w:t xml:space="preserve"> public schools under this chapter and the West Virginia State Fire Marshal for inspection and issuance of a certificate of occupancy for any facility used by the public charter school; and</w:t>
      </w:r>
    </w:p>
    <w:p w14:paraId="483BED58" w14:textId="77777777" w:rsidR="009C6B0D" w:rsidRPr="004950CA" w:rsidRDefault="009C6B0D" w:rsidP="00ED6C17">
      <w:pPr>
        <w:ind w:firstLine="720"/>
        <w:jc w:val="both"/>
        <w:outlineLvl w:val="4"/>
        <w:rPr>
          <w:rFonts w:eastAsia="Calibri" w:cs="Arial"/>
          <w:color w:val="auto"/>
        </w:rPr>
      </w:pPr>
      <w:r w:rsidRPr="004950CA">
        <w:rPr>
          <w:rFonts w:eastAsia="Calibri" w:cs="Arial"/>
          <w:color w:val="auto"/>
        </w:rPr>
        <w:t>(14) The same student transportation safety laws applicable to public schools when transportation is provided.</w:t>
      </w:r>
    </w:p>
    <w:p w14:paraId="7D8687CC" w14:textId="77777777" w:rsidR="004D3533" w:rsidRPr="004950CA" w:rsidRDefault="004D3533" w:rsidP="00954A32">
      <w:pPr>
        <w:pStyle w:val="SectionHeading"/>
        <w:rPr>
          <w:color w:val="auto"/>
        </w:rPr>
        <w:sectPr w:rsidR="004D3533" w:rsidRPr="004950CA" w:rsidSect="004D3533">
          <w:type w:val="continuous"/>
          <w:pgSz w:w="12240" w:h="15840" w:code="1"/>
          <w:pgMar w:top="1440" w:right="1440" w:bottom="1440" w:left="1440" w:header="720" w:footer="720" w:gutter="0"/>
          <w:lnNumType w:countBy="1" w:restart="newSection"/>
          <w:cols w:space="720"/>
          <w:titlePg/>
          <w:docGrid w:linePitch="360"/>
        </w:sectPr>
      </w:pPr>
    </w:p>
    <w:p w14:paraId="611BAB46" w14:textId="046DB156" w:rsidR="004D3533" w:rsidRPr="004950CA" w:rsidRDefault="004D3533" w:rsidP="004D3533">
      <w:pPr>
        <w:pStyle w:val="ArticleHeading"/>
        <w:rPr>
          <w:color w:val="auto"/>
        </w:rPr>
      </w:pPr>
      <w:r w:rsidRPr="004950CA">
        <w:rPr>
          <w:color w:val="auto"/>
        </w:rPr>
        <w:t xml:space="preserve">ARTICLE 31. HOPE SCHOLARSHIP PROGRAM. </w:t>
      </w:r>
    </w:p>
    <w:p w14:paraId="55DDF451" w14:textId="4896D638" w:rsidR="00D6176F" w:rsidRPr="004950CA" w:rsidRDefault="00D6176F" w:rsidP="00954A32">
      <w:pPr>
        <w:pStyle w:val="SectionHeading"/>
        <w:rPr>
          <w:color w:val="auto"/>
        </w:rPr>
      </w:pPr>
      <w:r w:rsidRPr="004950CA">
        <w:rPr>
          <w:color w:val="auto"/>
        </w:rPr>
        <w:t>§18-31-8. Renewal of Hope Scholarship accounts; participation in public school system.</w:t>
      </w:r>
    </w:p>
    <w:p w14:paraId="3EF2A1F1" w14:textId="77777777" w:rsidR="00D6176F" w:rsidRPr="004950CA" w:rsidRDefault="00D6176F" w:rsidP="00954A32">
      <w:pPr>
        <w:pStyle w:val="SectionBody"/>
        <w:rPr>
          <w:color w:val="auto"/>
        </w:rPr>
        <w:sectPr w:rsidR="00D6176F" w:rsidRPr="004950CA" w:rsidSect="004D3533">
          <w:type w:val="continuous"/>
          <w:pgSz w:w="12240" w:h="15840" w:code="1"/>
          <w:pgMar w:top="1440" w:right="1440" w:bottom="1440" w:left="1440" w:header="720" w:footer="720" w:gutter="0"/>
          <w:lnNumType w:countBy="1" w:restart="newSection"/>
          <w:cols w:space="720"/>
          <w:titlePg/>
          <w:docGrid w:linePitch="360"/>
        </w:sectPr>
      </w:pPr>
    </w:p>
    <w:p w14:paraId="7D3B5E35" w14:textId="39CFA445" w:rsidR="00D6176F" w:rsidRPr="004950CA" w:rsidRDefault="00D6176F" w:rsidP="00954A32">
      <w:pPr>
        <w:pStyle w:val="SectionBody"/>
        <w:rPr>
          <w:color w:val="auto"/>
        </w:rPr>
      </w:pPr>
      <w:r w:rsidRPr="004950CA">
        <w:rPr>
          <w:color w:val="auto"/>
        </w:rPr>
        <w:t>(a) A parent must renew an eligible recipient</w:t>
      </w:r>
      <w:r w:rsidR="00707BCC" w:rsidRPr="004950CA">
        <w:rPr>
          <w:color w:val="auto"/>
        </w:rPr>
        <w:t>'</w:t>
      </w:r>
      <w:r w:rsidRPr="004950CA">
        <w:rPr>
          <w:color w:val="auto"/>
        </w:rPr>
        <w:t xml:space="preserve">s Hope Scholarship on an annual basis.  Notwithstanding any changes in eligibility, a Hope Scholarship student who has previously qualified for a Hope Scholarship account remains eligible to apply for renewal until one of the </w:t>
      </w:r>
      <w:r w:rsidRPr="004950CA">
        <w:rPr>
          <w:color w:val="auto"/>
        </w:rPr>
        <w:lastRenderedPageBreak/>
        <w:t xml:space="preserve">conditions set forth in §18-31-6(f) occurs: </w:t>
      </w:r>
      <w:r w:rsidRPr="004950CA">
        <w:rPr>
          <w:i/>
          <w:color w:val="auto"/>
        </w:rPr>
        <w:t>Provided</w:t>
      </w:r>
      <w:r w:rsidRPr="004950CA">
        <w:rPr>
          <w:iCs/>
          <w:color w:val="auto"/>
        </w:rPr>
        <w:t xml:space="preserve">, </w:t>
      </w:r>
      <w:r w:rsidRPr="004950CA">
        <w:rPr>
          <w:color w:val="auto"/>
        </w:rPr>
        <w:t>That the board shall verify with the Department of Education the following information by July 1 of every year:</w:t>
      </w:r>
    </w:p>
    <w:p w14:paraId="699A1847" w14:textId="77777777" w:rsidR="00D6176F" w:rsidRPr="004950CA" w:rsidRDefault="00D6176F" w:rsidP="00954A32">
      <w:pPr>
        <w:pStyle w:val="SectionBody"/>
        <w:rPr>
          <w:color w:val="auto"/>
        </w:rPr>
      </w:pPr>
      <w:r w:rsidRPr="004950CA">
        <w:rPr>
          <w:color w:val="auto"/>
        </w:rPr>
        <w:t>(1) A list of all active Hope Scholarship Accounts;</w:t>
      </w:r>
    </w:p>
    <w:p w14:paraId="57A253E7" w14:textId="77777777" w:rsidR="00D6176F" w:rsidRPr="004950CA" w:rsidRDefault="00D6176F" w:rsidP="00954A32">
      <w:pPr>
        <w:pStyle w:val="SectionBody"/>
        <w:rPr>
          <w:color w:val="auto"/>
        </w:rPr>
      </w:pPr>
      <w:r w:rsidRPr="004950CA">
        <w:rPr>
          <w:color w:val="auto"/>
        </w:rPr>
        <w:t>(2) The resident school district of each Hope Scholarship student;</w:t>
      </w:r>
    </w:p>
    <w:p w14:paraId="0979A548" w14:textId="77777777" w:rsidR="00D6176F" w:rsidRPr="004950CA" w:rsidRDefault="00D6176F" w:rsidP="00954A32">
      <w:pPr>
        <w:pStyle w:val="SectionBody"/>
        <w:rPr>
          <w:iCs/>
          <w:color w:val="auto"/>
        </w:rPr>
      </w:pPr>
      <w:r w:rsidRPr="004950CA">
        <w:rPr>
          <w:color w:val="auto"/>
        </w:rPr>
        <w:t>(3) For a Hope Scholarship student who chooses to attend a participating school, annual confirmation of his or her continued attendance at a nonpublic school that complies with all requirements that other nonpublic school students must comply with; and</w:t>
      </w:r>
    </w:p>
    <w:p w14:paraId="1AC65EE6" w14:textId="77777777" w:rsidR="00D6176F" w:rsidRPr="004950CA" w:rsidRDefault="00D6176F" w:rsidP="00954A32">
      <w:pPr>
        <w:pStyle w:val="SectionBody"/>
        <w:rPr>
          <w:color w:val="auto"/>
        </w:rPr>
      </w:pPr>
      <w:r w:rsidRPr="004950CA">
        <w:rPr>
          <w:color w:val="auto"/>
        </w:rPr>
        <w:t>(4) For a Hope Scholarship student who chooses an individualized instructional program:</w:t>
      </w:r>
    </w:p>
    <w:p w14:paraId="473369AF" w14:textId="77777777" w:rsidR="00D6176F" w:rsidRPr="004950CA" w:rsidRDefault="00D6176F" w:rsidP="00954A32">
      <w:pPr>
        <w:pStyle w:val="SectionBody"/>
        <w:rPr>
          <w:color w:val="auto"/>
        </w:rPr>
      </w:pPr>
      <w:r w:rsidRPr="004950CA">
        <w:rPr>
          <w:color w:val="auto"/>
        </w:rPr>
        <w:t>(A) (</w:t>
      </w:r>
      <w:proofErr w:type="spellStart"/>
      <w:r w:rsidRPr="004950CA">
        <w:rPr>
          <w:color w:val="auto"/>
        </w:rPr>
        <w:t>i</w:t>
      </w:r>
      <w:proofErr w:type="spellEnd"/>
      <w:r w:rsidRPr="004950CA">
        <w:rPr>
          <w:color w:val="auto"/>
        </w:rPr>
        <w:t>) He or she has annually taken a nationally normed standardized achievement test of academic achievement;</w:t>
      </w:r>
    </w:p>
    <w:p w14:paraId="1A6A2708" w14:textId="3493C9C9" w:rsidR="00D6176F" w:rsidRPr="004950CA" w:rsidRDefault="00D6176F" w:rsidP="00954A32">
      <w:pPr>
        <w:pStyle w:val="SectionBody"/>
        <w:rPr>
          <w:color w:val="auto"/>
        </w:rPr>
      </w:pPr>
      <w:r w:rsidRPr="004950CA">
        <w:rPr>
          <w:color w:val="auto"/>
        </w:rPr>
        <w:t>(ii) The mean of the child</w:t>
      </w:r>
      <w:r w:rsidR="00707BCC" w:rsidRPr="004950CA">
        <w:rPr>
          <w:color w:val="auto"/>
        </w:rPr>
        <w:t>'</w:t>
      </w:r>
      <w:r w:rsidRPr="004950CA">
        <w:rPr>
          <w:color w:val="auto"/>
        </w:rPr>
        <w:t>s test results in the subject areas of reading, language, mathematics, science and social studies for any single year is within or above the fourth stanine or, if below the fourth stanine, show improvement from the previous year</w:t>
      </w:r>
      <w:r w:rsidR="00707BCC" w:rsidRPr="004950CA">
        <w:rPr>
          <w:color w:val="auto"/>
        </w:rPr>
        <w:t>'</w:t>
      </w:r>
      <w:r w:rsidRPr="004950CA">
        <w:rPr>
          <w:color w:val="auto"/>
        </w:rPr>
        <w:t>s results; and</w:t>
      </w:r>
    </w:p>
    <w:p w14:paraId="75682A2E" w14:textId="420FBE88" w:rsidR="00D6176F" w:rsidRPr="004950CA" w:rsidRDefault="00D6176F" w:rsidP="00954A32">
      <w:pPr>
        <w:pStyle w:val="SectionBody"/>
        <w:rPr>
          <w:color w:val="auto"/>
        </w:rPr>
      </w:pPr>
      <w:r w:rsidRPr="004950CA">
        <w:rPr>
          <w:color w:val="auto"/>
        </w:rPr>
        <w:t>(iii) The child</w:t>
      </w:r>
      <w:r w:rsidR="00707BCC" w:rsidRPr="004950CA">
        <w:rPr>
          <w:color w:val="auto"/>
        </w:rPr>
        <w:t>'</w:t>
      </w:r>
      <w:r w:rsidRPr="004950CA">
        <w:rPr>
          <w:color w:val="auto"/>
        </w:rPr>
        <w:t>s test results are reported to the county superintendent; or</w:t>
      </w:r>
    </w:p>
    <w:p w14:paraId="38272378" w14:textId="77777777" w:rsidR="00D6176F" w:rsidRPr="004950CA" w:rsidRDefault="00D6176F" w:rsidP="00954A32">
      <w:pPr>
        <w:pStyle w:val="SectionBody"/>
        <w:rPr>
          <w:color w:val="auto"/>
        </w:rPr>
      </w:pPr>
      <w:r w:rsidRPr="004950CA">
        <w:rPr>
          <w:color w:val="auto"/>
        </w:rPr>
        <w:t>(B) (</w:t>
      </w:r>
      <w:proofErr w:type="spellStart"/>
      <w:r w:rsidRPr="004950CA">
        <w:rPr>
          <w:color w:val="auto"/>
        </w:rPr>
        <w:t>i</w:t>
      </w:r>
      <w:proofErr w:type="spellEnd"/>
      <w:r w:rsidRPr="004950CA">
        <w:rPr>
          <w:color w:val="auto"/>
        </w:rPr>
        <w:t>) A certified teacher conducts a review of the student’s academic work annually;</w:t>
      </w:r>
    </w:p>
    <w:p w14:paraId="508876B4" w14:textId="77777777" w:rsidR="00D6176F" w:rsidRPr="004950CA" w:rsidRDefault="00D6176F" w:rsidP="00954A32">
      <w:pPr>
        <w:pStyle w:val="SectionBody"/>
        <w:rPr>
          <w:color w:val="auto"/>
        </w:rPr>
      </w:pPr>
      <w:r w:rsidRPr="004950CA">
        <w:rPr>
          <w:color w:val="auto"/>
        </w:rPr>
        <w:t>(ii) The certified teacher determines that the student is making academic progress commensurate with his or her age and ability; and</w:t>
      </w:r>
    </w:p>
    <w:p w14:paraId="1E3EB581" w14:textId="27EEA2BE" w:rsidR="00D6176F" w:rsidRPr="004950CA" w:rsidRDefault="00D6176F" w:rsidP="00954A32">
      <w:pPr>
        <w:pStyle w:val="SectionBody"/>
        <w:rPr>
          <w:color w:val="auto"/>
        </w:rPr>
      </w:pPr>
      <w:r w:rsidRPr="004950CA">
        <w:rPr>
          <w:color w:val="auto"/>
        </w:rPr>
        <w:t>(iii) The certified teacher</w:t>
      </w:r>
      <w:r w:rsidR="00707BCC" w:rsidRPr="004950CA">
        <w:rPr>
          <w:color w:val="auto"/>
        </w:rPr>
        <w:t>'</w:t>
      </w:r>
      <w:r w:rsidRPr="004950CA">
        <w:rPr>
          <w:color w:val="auto"/>
        </w:rPr>
        <w:t>s determination is reported to the county superintendent.</w:t>
      </w:r>
    </w:p>
    <w:p w14:paraId="66C5CEBB" w14:textId="77777777" w:rsidR="00D6176F" w:rsidRPr="004950CA" w:rsidRDefault="00D6176F" w:rsidP="00954A32">
      <w:pPr>
        <w:pStyle w:val="SectionBody"/>
        <w:rPr>
          <w:color w:val="auto"/>
        </w:rPr>
      </w:pPr>
      <w:r w:rsidRPr="004950CA">
        <w:rPr>
          <w:color w:val="auto"/>
        </w:rPr>
        <w:t>(b) Each county superintendent shall submit the test results and determinations reported to him or her pursuant to subsection (a) of this section to the Department of Education each year on or before June 15.</w:t>
      </w:r>
    </w:p>
    <w:p w14:paraId="4D98D6F7" w14:textId="03A98CDB" w:rsidR="00D6176F" w:rsidRPr="004950CA" w:rsidRDefault="00D6176F" w:rsidP="00954A32">
      <w:pPr>
        <w:pStyle w:val="SectionBody"/>
        <w:rPr>
          <w:color w:val="auto"/>
        </w:rPr>
      </w:pPr>
      <w:r w:rsidRPr="004950CA">
        <w:rPr>
          <w:color w:val="auto"/>
        </w:rPr>
        <w:t>(c) If a parent fails to renew an eligible recipient’s Hope Scholarship, the board shall notify the parent that the eligible recipient</w:t>
      </w:r>
      <w:r w:rsidR="00707BCC" w:rsidRPr="004950CA">
        <w:rPr>
          <w:color w:val="auto"/>
        </w:rPr>
        <w:t>'</w:t>
      </w:r>
      <w:r w:rsidRPr="004950CA">
        <w:rPr>
          <w:color w:val="auto"/>
        </w:rPr>
        <w:t>s account will be closed in 45 calendar days. If a parent chooses not to renew or does not respond within 30 calendar days of receipt of notice, the board shall close the account and any remaining mon</w:t>
      </w:r>
      <w:r w:rsidR="00707BCC" w:rsidRPr="004950CA">
        <w:rPr>
          <w:color w:val="auto"/>
        </w:rPr>
        <w:t>ies</w:t>
      </w:r>
      <w:r w:rsidRPr="004950CA">
        <w:rPr>
          <w:color w:val="auto"/>
        </w:rPr>
        <w:t xml:space="preserve"> shall be returned to the state.</w:t>
      </w:r>
    </w:p>
    <w:p w14:paraId="7B7BA54F" w14:textId="77777777" w:rsidR="00D6176F" w:rsidRPr="004950CA" w:rsidRDefault="00D6176F" w:rsidP="00954A32">
      <w:pPr>
        <w:pStyle w:val="SectionBody"/>
        <w:rPr>
          <w:color w:val="auto"/>
        </w:rPr>
      </w:pPr>
      <w:r w:rsidRPr="004950CA">
        <w:rPr>
          <w:color w:val="auto"/>
        </w:rPr>
        <w:t xml:space="preserve">(d) If an eligible recipient decides to return to the Hope Scholarship Program after failing </w:t>
      </w:r>
      <w:r w:rsidRPr="004950CA">
        <w:rPr>
          <w:color w:val="auto"/>
        </w:rPr>
        <w:lastRenderedPageBreak/>
        <w:t>to renew, they must reapply.</w:t>
      </w:r>
    </w:p>
    <w:p w14:paraId="5181B0E6" w14:textId="77777777" w:rsidR="00D6176F" w:rsidRPr="004950CA" w:rsidRDefault="00D6176F" w:rsidP="00954A32">
      <w:pPr>
        <w:pStyle w:val="SectionBody"/>
        <w:rPr>
          <w:color w:val="auto"/>
        </w:rPr>
      </w:pPr>
      <w:r w:rsidRPr="004950CA">
        <w:rPr>
          <w:color w:val="auto"/>
        </w:rPr>
        <w:t xml:space="preserve">(e) The board, in consultation with the Department of Education, may adopt rules and policies to provide the least disruptive process for Hope Scholarship students who desire to stop receiving Hope Scholarship payments and return full-time to a public school. </w:t>
      </w:r>
    </w:p>
    <w:p w14:paraId="776C424A" w14:textId="66FD3722" w:rsidR="00D6176F" w:rsidRPr="004950CA" w:rsidRDefault="00D6176F" w:rsidP="00954A32">
      <w:pPr>
        <w:pStyle w:val="SectionBody"/>
        <w:rPr>
          <w:color w:val="auto"/>
        </w:rPr>
      </w:pPr>
      <w:r w:rsidRPr="004950CA">
        <w:rPr>
          <w:color w:val="auto"/>
        </w:rPr>
        <w:t>(f) The board</w:t>
      </w:r>
      <w:bookmarkStart w:id="1" w:name="_Hlk64018358"/>
      <w:r w:rsidRPr="004950CA">
        <w:rPr>
          <w:color w:val="auto"/>
        </w:rPr>
        <w:t xml:space="preserve">, in consultation with the Department of Education, </w:t>
      </w:r>
      <w:bookmarkEnd w:id="1"/>
      <w:r w:rsidRPr="004950CA">
        <w:rPr>
          <w:color w:val="auto"/>
        </w:rPr>
        <w:t>may adopt rules and policies for Hope Scholarship students who want to continue to receive services provided by a public school or district, including individual classes and extracurricular programs, in combination with an individualized instructional program. The board, in consultation with the Department of Education, shall ensure that any public school or school district providing such services receives the appropriate pro rata share of a student</w:t>
      </w:r>
      <w:r w:rsidR="00707BCC" w:rsidRPr="004950CA">
        <w:rPr>
          <w:color w:val="auto"/>
        </w:rPr>
        <w:t>'</w:t>
      </w:r>
      <w:r w:rsidRPr="004950CA">
        <w:rPr>
          <w:color w:val="auto"/>
        </w:rPr>
        <w:t xml:space="preserve">s Hope Scholarship funds based on the percentage of total instruction provided to the student by the public school or school district. County boards </w:t>
      </w:r>
      <w:r w:rsidRPr="004950CA">
        <w:rPr>
          <w:color w:val="auto"/>
          <w:u w:val="single"/>
        </w:rPr>
        <w:t>and charter school governing</w:t>
      </w:r>
      <w:r w:rsidR="00804773" w:rsidRPr="004950CA">
        <w:rPr>
          <w:color w:val="auto"/>
        </w:rPr>
        <w:t xml:space="preserve"> </w:t>
      </w:r>
      <w:r w:rsidRPr="004950CA">
        <w:rPr>
          <w:color w:val="auto"/>
        </w:rPr>
        <w:t xml:space="preserve">boards shall charge tuition to Hope Scholarship students who enroll for services in a public school within the county </w:t>
      </w:r>
      <w:r w:rsidRPr="004950CA">
        <w:rPr>
          <w:color w:val="auto"/>
          <w:u w:val="single"/>
        </w:rPr>
        <w:t xml:space="preserve">or </w:t>
      </w:r>
      <w:r w:rsidR="00804773" w:rsidRPr="004950CA">
        <w:rPr>
          <w:color w:val="auto"/>
          <w:u w:val="single"/>
        </w:rPr>
        <w:t>in a public charter school</w:t>
      </w:r>
      <w:r w:rsidRPr="004950CA">
        <w:rPr>
          <w:color w:val="auto"/>
        </w:rPr>
        <w:t>.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3D87294D" w14:textId="77777777" w:rsidR="00C33014" w:rsidRPr="004950CA" w:rsidRDefault="00C33014" w:rsidP="00CC1F3B">
      <w:pPr>
        <w:pStyle w:val="Note"/>
        <w:rPr>
          <w:color w:val="auto"/>
        </w:rPr>
      </w:pPr>
    </w:p>
    <w:p w14:paraId="054849F1" w14:textId="6AE66AB3" w:rsidR="006865E9" w:rsidRPr="004950CA" w:rsidRDefault="00CF1DCA" w:rsidP="00CC1F3B">
      <w:pPr>
        <w:pStyle w:val="Note"/>
        <w:rPr>
          <w:color w:val="auto"/>
        </w:rPr>
      </w:pPr>
      <w:r w:rsidRPr="004950CA">
        <w:rPr>
          <w:color w:val="auto"/>
        </w:rPr>
        <w:t>NOTE: The</w:t>
      </w:r>
      <w:r w:rsidR="006865E9" w:rsidRPr="004950CA">
        <w:rPr>
          <w:color w:val="auto"/>
        </w:rPr>
        <w:t xml:space="preserve"> purpose of this bill is to </w:t>
      </w:r>
      <w:r w:rsidR="00D6176F" w:rsidRPr="004950CA">
        <w:rPr>
          <w:color w:val="auto"/>
        </w:rPr>
        <w:t>allow charter schools to charge Hope Scholarship students for classes that students enroll in at the charter school.</w:t>
      </w:r>
    </w:p>
    <w:p w14:paraId="4149434B" w14:textId="77777777" w:rsidR="006865E9" w:rsidRPr="004950CA" w:rsidRDefault="00AE48A0" w:rsidP="00CC1F3B">
      <w:pPr>
        <w:pStyle w:val="Note"/>
        <w:rPr>
          <w:color w:val="auto"/>
        </w:rPr>
      </w:pPr>
      <w:r w:rsidRPr="004950CA">
        <w:rPr>
          <w:color w:val="auto"/>
        </w:rPr>
        <w:t>Strike-throughs indicate language that would be stricken from a heading or the present law and underscoring indicates new language that would be added.</w:t>
      </w:r>
    </w:p>
    <w:sectPr w:rsidR="006865E9" w:rsidRPr="004950CA" w:rsidSect="004D35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66F3" w14:textId="77777777" w:rsidR="009C6B0D" w:rsidRPr="00B844FE" w:rsidRDefault="009C6B0D" w:rsidP="00B844FE">
      <w:r>
        <w:separator/>
      </w:r>
    </w:p>
  </w:endnote>
  <w:endnote w:type="continuationSeparator" w:id="0">
    <w:p w14:paraId="19F7F019" w14:textId="77777777" w:rsidR="009C6B0D" w:rsidRPr="00B844FE" w:rsidRDefault="009C6B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1E6E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91EF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4AE6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7C8C" w14:textId="77777777" w:rsidR="009C6B0D" w:rsidRPr="00B844FE" w:rsidRDefault="009C6B0D" w:rsidP="00B844FE">
      <w:r>
        <w:separator/>
      </w:r>
    </w:p>
  </w:footnote>
  <w:footnote w:type="continuationSeparator" w:id="0">
    <w:p w14:paraId="6B100F0B" w14:textId="77777777" w:rsidR="009C6B0D" w:rsidRPr="00B844FE" w:rsidRDefault="009C6B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A69C" w14:textId="77777777" w:rsidR="002A0269" w:rsidRPr="00B844FE" w:rsidRDefault="0040627A">
    <w:pPr>
      <w:pStyle w:val="Header"/>
    </w:pPr>
    <w:sdt>
      <w:sdtPr>
        <w:id w:val="-684364211"/>
        <w:placeholder>
          <w:docPart w:val="24D5FAADE3C04FA8ACAA48E15D26626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4D5FAADE3C04FA8ACAA48E15D26626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2E33" w14:textId="7AF295E0"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4D3533">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4D3533">
          <w:t>2024R3273</w:t>
        </w:r>
      </w:sdtContent>
    </w:sdt>
  </w:p>
  <w:p w14:paraId="655E39A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C0EF" w14:textId="4118ECFD" w:rsidR="002A0269" w:rsidRPr="002A0269" w:rsidRDefault="0040627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D353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0D"/>
    <w:rsid w:val="0000526A"/>
    <w:rsid w:val="000573A9"/>
    <w:rsid w:val="00085D22"/>
    <w:rsid w:val="000C5C77"/>
    <w:rsid w:val="000E3912"/>
    <w:rsid w:val="0010070F"/>
    <w:rsid w:val="001143CA"/>
    <w:rsid w:val="00143720"/>
    <w:rsid w:val="0015112E"/>
    <w:rsid w:val="001552E7"/>
    <w:rsid w:val="001566B4"/>
    <w:rsid w:val="001A66B7"/>
    <w:rsid w:val="001C279E"/>
    <w:rsid w:val="001D459E"/>
    <w:rsid w:val="0027011C"/>
    <w:rsid w:val="00274200"/>
    <w:rsid w:val="00275740"/>
    <w:rsid w:val="002A0269"/>
    <w:rsid w:val="00303684"/>
    <w:rsid w:val="003143F5"/>
    <w:rsid w:val="00314854"/>
    <w:rsid w:val="00346939"/>
    <w:rsid w:val="00394191"/>
    <w:rsid w:val="003C51CD"/>
    <w:rsid w:val="0040627A"/>
    <w:rsid w:val="004368E0"/>
    <w:rsid w:val="004950CA"/>
    <w:rsid w:val="004C13DD"/>
    <w:rsid w:val="004D2CC5"/>
    <w:rsid w:val="004D3533"/>
    <w:rsid w:val="004E3441"/>
    <w:rsid w:val="00500579"/>
    <w:rsid w:val="00541214"/>
    <w:rsid w:val="00575F35"/>
    <w:rsid w:val="005A5366"/>
    <w:rsid w:val="005D7E17"/>
    <w:rsid w:val="006210B7"/>
    <w:rsid w:val="006369EB"/>
    <w:rsid w:val="00637E73"/>
    <w:rsid w:val="006865E9"/>
    <w:rsid w:val="00687130"/>
    <w:rsid w:val="00691F3E"/>
    <w:rsid w:val="00694BFB"/>
    <w:rsid w:val="006A106B"/>
    <w:rsid w:val="006C523D"/>
    <w:rsid w:val="006D4036"/>
    <w:rsid w:val="00707BCC"/>
    <w:rsid w:val="007A5259"/>
    <w:rsid w:val="007A7081"/>
    <w:rsid w:val="007F1CF5"/>
    <w:rsid w:val="007F29DD"/>
    <w:rsid w:val="00804773"/>
    <w:rsid w:val="00834EDE"/>
    <w:rsid w:val="008736AA"/>
    <w:rsid w:val="008B0563"/>
    <w:rsid w:val="008D275D"/>
    <w:rsid w:val="009475DF"/>
    <w:rsid w:val="00980327"/>
    <w:rsid w:val="00986478"/>
    <w:rsid w:val="009B5557"/>
    <w:rsid w:val="009C6B0D"/>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BC6C56"/>
    <w:rsid w:val="00C32FED"/>
    <w:rsid w:val="00C33014"/>
    <w:rsid w:val="00C33434"/>
    <w:rsid w:val="00C34869"/>
    <w:rsid w:val="00C42EB6"/>
    <w:rsid w:val="00C85096"/>
    <w:rsid w:val="00CA2E7A"/>
    <w:rsid w:val="00CB20EF"/>
    <w:rsid w:val="00CC1F3B"/>
    <w:rsid w:val="00CD12CB"/>
    <w:rsid w:val="00CD36CF"/>
    <w:rsid w:val="00CF1DCA"/>
    <w:rsid w:val="00D579FC"/>
    <w:rsid w:val="00D6176F"/>
    <w:rsid w:val="00D81C16"/>
    <w:rsid w:val="00DE526B"/>
    <w:rsid w:val="00DF199D"/>
    <w:rsid w:val="00E01542"/>
    <w:rsid w:val="00E365F1"/>
    <w:rsid w:val="00E62F48"/>
    <w:rsid w:val="00E831B3"/>
    <w:rsid w:val="00E95FBC"/>
    <w:rsid w:val="00EE70CB"/>
    <w:rsid w:val="00F3127D"/>
    <w:rsid w:val="00F41CA2"/>
    <w:rsid w:val="00F443C0"/>
    <w:rsid w:val="00F62EFB"/>
    <w:rsid w:val="00F939A4"/>
    <w:rsid w:val="00FA118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550C2"/>
  <w15:chartTrackingRefBased/>
  <w15:docId w15:val="{DC9BA4A0-7A29-407C-A57A-C432C0F5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D353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83F0D70544CDC88703D012EC5D854"/>
        <w:category>
          <w:name w:val="General"/>
          <w:gallery w:val="placeholder"/>
        </w:category>
        <w:types>
          <w:type w:val="bbPlcHdr"/>
        </w:types>
        <w:behaviors>
          <w:behavior w:val="content"/>
        </w:behaviors>
        <w:guid w:val="{0E1F4F9B-92F2-4448-A0E3-6651B3B078A6}"/>
      </w:docPartPr>
      <w:docPartBody>
        <w:p w:rsidR="00C16BFD" w:rsidRDefault="00C16BFD">
          <w:pPr>
            <w:pStyle w:val="98D83F0D70544CDC88703D012EC5D854"/>
          </w:pPr>
          <w:r w:rsidRPr="00B844FE">
            <w:t>Prefix Text</w:t>
          </w:r>
        </w:p>
      </w:docPartBody>
    </w:docPart>
    <w:docPart>
      <w:docPartPr>
        <w:name w:val="24D5FAADE3C04FA8ACAA48E15D26626B"/>
        <w:category>
          <w:name w:val="General"/>
          <w:gallery w:val="placeholder"/>
        </w:category>
        <w:types>
          <w:type w:val="bbPlcHdr"/>
        </w:types>
        <w:behaviors>
          <w:behavior w:val="content"/>
        </w:behaviors>
        <w:guid w:val="{0E7D211A-F92E-4A43-9A98-1528737E5C11}"/>
      </w:docPartPr>
      <w:docPartBody>
        <w:p w:rsidR="00C16BFD" w:rsidRDefault="00C16BFD">
          <w:pPr>
            <w:pStyle w:val="24D5FAADE3C04FA8ACAA48E15D26626B"/>
          </w:pPr>
          <w:r w:rsidRPr="00B844FE">
            <w:t>[Type here]</w:t>
          </w:r>
        </w:p>
      </w:docPartBody>
    </w:docPart>
    <w:docPart>
      <w:docPartPr>
        <w:name w:val="65182B7A742445088B6E3441A22A67EA"/>
        <w:category>
          <w:name w:val="General"/>
          <w:gallery w:val="placeholder"/>
        </w:category>
        <w:types>
          <w:type w:val="bbPlcHdr"/>
        </w:types>
        <w:behaviors>
          <w:behavior w:val="content"/>
        </w:behaviors>
        <w:guid w:val="{03A013FF-D672-45E3-8CFF-DD2F2BF8401D}"/>
      </w:docPartPr>
      <w:docPartBody>
        <w:p w:rsidR="00C16BFD" w:rsidRDefault="00C16BFD">
          <w:pPr>
            <w:pStyle w:val="65182B7A742445088B6E3441A22A67EA"/>
          </w:pPr>
          <w:r w:rsidRPr="00B844FE">
            <w:t>Number</w:t>
          </w:r>
        </w:p>
      </w:docPartBody>
    </w:docPart>
    <w:docPart>
      <w:docPartPr>
        <w:name w:val="BCC470E483CC437C9441CAC2EBE236D7"/>
        <w:category>
          <w:name w:val="General"/>
          <w:gallery w:val="placeholder"/>
        </w:category>
        <w:types>
          <w:type w:val="bbPlcHdr"/>
        </w:types>
        <w:behaviors>
          <w:behavior w:val="content"/>
        </w:behaviors>
        <w:guid w:val="{866B1C8E-5BD4-4D90-A758-B0B7B7A29DE9}"/>
      </w:docPartPr>
      <w:docPartBody>
        <w:p w:rsidR="00C16BFD" w:rsidRDefault="00C16BFD">
          <w:pPr>
            <w:pStyle w:val="BCC470E483CC437C9441CAC2EBE236D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FD"/>
    <w:rsid w:val="00C1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83F0D70544CDC88703D012EC5D854">
    <w:name w:val="98D83F0D70544CDC88703D012EC5D854"/>
  </w:style>
  <w:style w:type="paragraph" w:customStyle="1" w:styleId="24D5FAADE3C04FA8ACAA48E15D26626B">
    <w:name w:val="24D5FAADE3C04FA8ACAA48E15D26626B"/>
  </w:style>
  <w:style w:type="paragraph" w:customStyle="1" w:styleId="65182B7A742445088B6E3441A22A67EA">
    <w:name w:val="65182B7A742445088B6E3441A22A67EA"/>
  </w:style>
  <w:style w:type="paragraph" w:customStyle="1" w:styleId="BCC470E483CC437C9441CAC2EBE236D7">
    <w:name w:val="BCC470E483CC437C9441CAC2EBE236D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8</Pages>
  <Words>2079</Words>
  <Characters>12104</Characters>
  <Application>Microsoft Office Word</Application>
  <DocSecurity>0</DocSecurity>
  <Lines>931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Brenda Francis</cp:lastModifiedBy>
  <cp:revision>10</cp:revision>
  <dcterms:created xsi:type="dcterms:W3CDTF">2024-01-18T20:18:00Z</dcterms:created>
  <dcterms:modified xsi:type="dcterms:W3CDTF">2024-01-30T20:55:00Z</dcterms:modified>
</cp:coreProperties>
</file>