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4B08" w14:textId="77777777" w:rsidR="00FE067E" w:rsidRPr="00CB37C7" w:rsidRDefault="00CD36CF" w:rsidP="00EF6030">
      <w:pPr>
        <w:pStyle w:val="TitlePageOrigin"/>
        <w:rPr>
          <w:color w:val="auto"/>
        </w:rPr>
      </w:pPr>
      <w:r w:rsidRPr="00CB37C7">
        <w:rPr>
          <w:color w:val="auto"/>
        </w:rPr>
        <w:t>WEST virginia legislature</w:t>
      </w:r>
    </w:p>
    <w:p w14:paraId="3E853A96" w14:textId="0C680C28" w:rsidR="00CD36CF" w:rsidRPr="00CB37C7" w:rsidRDefault="00CD36CF" w:rsidP="00EF6030">
      <w:pPr>
        <w:pStyle w:val="TitlePageSession"/>
        <w:rPr>
          <w:color w:val="auto"/>
        </w:rPr>
      </w:pPr>
      <w:r w:rsidRPr="00CB37C7">
        <w:rPr>
          <w:color w:val="auto"/>
        </w:rPr>
        <w:t>20</w:t>
      </w:r>
      <w:r w:rsidR="006565E8" w:rsidRPr="00CB37C7">
        <w:rPr>
          <w:color w:val="auto"/>
        </w:rPr>
        <w:t>2</w:t>
      </w:r>
      <w:r w:rsidR="00362F8E">
        <w:rPr>
          <w:color w:val="auto"/>
        </w:rPr>
        <w:t>5</w:t>
      </w:r>
      <w:r w:rsidRPr="00CB37C7">
        <w:rPr>
          <w:color w:val="auto"/>
        </w:rPr>
        <w:t xml:space="preserve"> regular session</w:t>
      </w:r>
    </w:p>
    <w:p w14:paraId="6EED4FE0" w14:textId="121E6420" w:rsidR="00AC3B58" w:rsidRPr="00CB37C7" w:rsidRDefault="0057751D" w:rsidP="005E3BDD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7AEC4C76EA4F2FBAEF016C6A722000"/>
          </w:placeholder>
          <w:text/>
        </w:sdtPr>
        <w:sdtEndPr/>
        <w:sdtContent>
          <w:r w:rsidR="005E3BDD" w:rsidRPr="00CB37C7">
            <w:rPr>
              <w:color w:val="auto"/>
            </w:rPr>
            <w:t>Introduced</w:t>
          </w:r>
        </w:sdtContent>
      </w:sdt>
    </w:p>
    <w:p w14:paraId="211E2FE6" w14:textId="07E424E6" w:rsidR="00CD36CF" w:rsidRPr="00CB37C7" w:rsidRDefault="0057751D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CBD3146B157444F92850E181956C80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83B6E">
            <w:rPr>
              <w:color w:val="auto"/>
            </w:rPr>
            <w:t>House</w:t>
          </w:r>
        </w:sdtContent>
      </w:sdt>
      <w:r w:rsidR="00303684" w:rsidRPr="00CB37C7">
        <w:rPr>
          <w:color w:val="auto"/>
        </w:rPr>
        <w:t xml:space="preserve"> </w:t>
      </w:r>
      <w:r w:rsidR="00CD36CF" w:rsidRPr="00CB37C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2F34A0B15514014B78E23DD2A480BE4"/>
          </w:placeholder>
          <w:text/>
        </w:sdtPr>
        <w:sdtEndPr/>
        <w:sdtContent>
          <w:r>
            <w:rPr>
              <w:color w:val="auto"/>
            </w:rPr>
            <w:t>2696</w:t>
          </w:r>
        </w:sdtContent>
      </w:sdt>
    </w:p>
    <w:sdt>
      <w:sdtPr>
        <w:rPr>
          <w:smallCaps/>
          <w:color w:val="auto"/>
        </w:rPr>
        <w:alias w:val="Sponsors"/>
        <w:tag w:val="Sponsors"/>
        <w:id w:val="-1412239524"/>
        <w:placeholder>
          <w:docPart w:val="DefaultPlaceholder_-1854013440"/>
        </w:placeholder>
      </w:sdtPr>
      <w:sdtEndPr/>
      <w:sdtContent>
        <w:p w14:paraId="1E205735" w14:textId="5FE058AE" w:rsidR="00B92C78" w:rsidRPr="00CB37C7" w:rsidRDefault="00B92C78" w:rsidP="00EF6030">
          <w:pPr>
            <w:pStyle w:val="References"/>
            <w:rPr>
              <w:smallCaps/>
              <w:color w:val="auto"/>
            </w:rPr>
          </w:pPr>
          <w:r w:rsidRPr="00CB37C7">
            <w:rPr>
              <w:smallCaps/>
              <w:color w:val="auto"/>
            </w:rPr>
            <w:t xml:space="preserve">By </w:t>
          </w:r>
          <w:r w:rsidR="00783B6E">
            <w:rPr>
              <w:smallCaps/>
              <w:color w:val="auto"/>
            </w:rPr>
            <w:t>Delegate</w:t>
          </w:r>
          <w:r w:rsidR="005223B3">
            <w:rPr>
              <w:smallCaps/>
              <w:color w:val="auto"/>
            </w:rPr>
            <w:t>s</w:t>
          </w:r>
          <w:r w:rsidR="00783B6E">
            <w:rPr>
              <w:smallCaps/>
              <w:color w:val="auto"/>
            </w:rPr>
            <w:t xml:space="preserve"> Statler</w:t>
          </w:r>
          <w:r w:rsidR="005223B3">
            <w:rPr>
              <w:smallCaps/>
              <w:color w:val="auto"/>
            </w:rPr>
            <w:t>, Ellington, and Toney</w:t>
          </w:r>
        </w:p>
      </w:sdtContent>
    </w:sdt>
    <w:sdt>
      <w:sdtPr>
        <w:rPr>
          <w:color w:val="auto"/>
        </w:rPr>
        <w:alias w:val="References"/>
        <w:tag w:val="References"/>
        <w:id w:val="859011222"/>
        <w:placeholder>
          <w:docPart w:val="DefaultPlaceholder_-1854013440"/>
        </w:placeholder>
      </w:sdtPr>
      <w:sdtEndPr/>
      <w:sdtContent>
        <w:p w14:paraId="59BE5F20" w14:textId="7666DD2C" w:rsidR="00B92C78" w:rsidRPr="00CB37C7" w:rsidRDefault="0057751D" w:rsidP="00187F97">
          <w:pPr>
            <w:pStyle w:val="References"/>
            <w:rPr>
              <w:color w:val="auto"/>
            </w:rPr>
          </w:pPr>
          <w:r>
            <w:rPr>
              <w:color w:val="auto"/>
            </w:rPr>
            <w:t>Introduced February 20, 2025; referred to the Committee on the Judiciary</w:t>
          </w:r>
        </w:p>
      </w:sdtContent>
    </w:sdt>
    <w:p w14:paraId="7754246A" w14:textId="77777777" w:rsidR="00B92C78" w:rsidRPr="00CB37C7" w:rsidRDefault="00B92C78" w:rsidP="00B92C78">
      <w:pPr>
        <w:pStyle w:val="TitlePageOrigin"/>
        <w:rPr>
          <w:color w:val="auto"/>
        </w:rPr>
      </w:pPr>
    </w:p>
    <w:p w14:paraId="7205F5E2" w14:textId="77777777" w:rsidR="00B92C78" w:rsidRPr="00CB37C7" w:rsidRDefault="00B92C78" w:rsidP="00B92C78">
      <w:pPr>
        <w:pStyle w:val="TitlePageOrigin"/>
        <w:rPr>
          <w:color w:val="auto"/>
        </w:rPr>
      </w:pPr>
    </w:p>
    <w:p w14:paraId="69B6D736" w14:textId="22CAD677" w:rsidR="00B92C78" w:rsidRPr="00CB37C7" w:rsidRDefault="00B92C78" w:rsidP="00B92C78">
      <w:pPr>
        <w:pStyle w:val="TitleSection"/>
        <w:rPr>
          <w:color w:val="auto"/>
        </w:rPr>
      </w:pPr>
      <w:r w:rsidRPr="00CB37C7">
        <w:rPr>
          <w:color w:val="auto"/>
        </w:rPr>
        <w:lastRenderedPageBreak/>
        <w:t>A BILL to amend the Code of West Virginia, 1931, as amended, by adding a new section, designated §</w:t>
      </w:r>
      <w:r w:rsidR="00783B6E">
        <w:rPr>
          <w:color w:val="auto"/>
        </w:rPr>
        <w:t>51-1-14</w:t>
      </w:r>
      <w:r w:rsidRPr="00CB37C7">
        <w:rPr>
          <w:color w:val="auto"/>
        </w:rPr>
        <w:t>, relating</w:t>
      </w:r>
      <w:r w:rsidR="00783B6E">
        <w:rPr>
          <w:color w:val="0F0F0F"/>
          <w:spacing w:val="-3"/>
        </w:rPr>
        <w:t xml:space="preserve"> </w:t>
      </w:r>
      <w:r w:rsidR="00783B6E">
        <w:rPr>
          <w:color w:val="0F0F0F"/>
        </w:rPr>
        <w:t>to</w:t>
      </w:r>
      <w:r w:rsidR="00783B6E">
        <w:rPr>
          <w:color w:val="0F0F0F"/>
          <w:spacing w:val="-12"/>
        </w:rPr>
        <w:t xml:space="preserve"> </w:t>
      </w:r>
      <w:r w:rsidR="00783B6E">
        <w:rPr>
          <w:color w:val="0F0F0F"/>
        </w:rPr>
        <w:t>the</w:t>
      </w:r>
      <w:r w:rsidR="00783B6E">
        <w:rPr>
          <w:color w:val="0F0F0F"/>
          <w:spacing w:val="-6"/>
        </w:rPr>
        <w:t xml:space="preserve"> </w:t>
      </w:r>
      <w:r w:rsidR="00783B6E">
        <w:rPr>
          <w:color w:val="0F0F0F"/>
        </w:rPr>
        <w:t>West</w:t>
      </w:r>
      <w:r w:rsidR="00783B6E">
        <w:rPr>
          <w:color w:val="0F0F0F"/>
          <w:spacing w:val="-7"/>
        </w:rPr>
        <w:t xml:space="preserve"> </w:t>
      </w:r>
      <w:r w:rsidR="00783B6E">
        <w:rPr>
          <w:color w:val="0F0F0F"/>
        </w:rPr>
        <w:t>Virginia</w:t>
      </w:r>
      <w:r w:rsidR="00783B6E">
        <w:rPr>
          <w:color w:val="0F0F0F"/>
          <w:spacing w:val="6"/>
        </w:rPr>
        <w:t xml:space="preserve"> </w:t>
      </w:r>
      <w:r w:rsidR="00783B6E">
        <w:rPr>
          <w:color w:val="0F0F0F"/>
        </w:rPr>
        <w:t>Supreme</w:t>
      </w:r>
      <w:r w:rsidR="00783B6E">
        <w:rPr>
          <w:color w:val="0F0F0F"/>
          <w:spacing w:val="3"/>
        </w:rPr>
        <w:t xml:space="preserve"> </w:t>
      </w:r>
      <w:r w:rsidR="00783B6E">
        <w:rPr>
          <w:color w:val="0F0F0F"/>
        </w:rPr>
        <w:t>Court</w:t>
      </w:r>
      <w:r w:rsidR="00B62411">
        <w:rPr>
          <w:color w:val="0F0F0F"/>
        </w:rPr>
        <w:t xml:space="preserve"> of Appeal's</w:t>
      </w:r>
      <w:r w:rsidR="00783B6E">
        <w:rPr>
          <w:color w:val="0F0F0F"/>
          <w:spacing w:val="-2"/>
        </w:rPr>
        <w:t xml:space="preserve"> </w:t>
      </w:r>
      <w:r w:rsidR="00783B6E">
        <w:rPr>
          <w:color w:val="0F0F0F"/>
        </w:rPr>
        <w:t>power to</w:t>
      </w:r>
      <w:r w:rsidR="00783B6E">
        <w:rPr>
          <w:color w:val="0F0F0F"/>
          <w:spacing w:val="-11"/>
        </w:rPr>
        <w:t xml:space="preserve"> </w:t>
      </w:r>
      <w:r w:rsidR="00783B6E">
        <w:rPr>
          <w:color w:val="0F0F0F"/>
          <w:spacing w:val="-2"/>
        </w:rPr>
        <w:t xml:space="preserve">promulgate </w:t>
      </w:r>
      <w:r w:rsidR="00783B6E">
        <w:rPr>
          <w:color w:val="0F0F0F"/>
        </w:rPr>
        <w:t>rules</w:t>
      </w:r>
      <w:r w:rsidR="00783B6E">
        <w:rPr>
          <w:color w:val="0F0F0F"/>
          <w:spacing w:val="-10"/>
        </w:rPr>
        <w:t xml:space="preserve"> </w:t>
      </w:r>
      <w:r w:rsidR="00783B6E">
        <w:rPr>
          <w:color w:val="0F0F0F"/>
        </w:rPr>
        <w:t>allowing</w:t>
      </w:r>
      <w:r w:rsidR="00783B6E">
        <w:rPr>
          <w:color w:val="0F0F0F"/>
          <w:spacing w:val="-4"/>
        </w:rPr>
        <w:t xml:space="preserve"> </w:t>
      </w:r>
      <w:r w:rsidR="00783B6E">
        <w:rPr>
          <w:color w:val="0F0F0F"/>
        </w:rPr>
        <w:t>for</w:t>
      </w:r>
      <w:r w:rsidR="00783B6E">
        <w:rPr>
          <w:color w:val="0F0F0F"/>
          <w:spacing w:val="-7"/>
        </w:rPr>
        <w:t xml:space="preserve"> </w:t>
      </w:r>
      <w:r w:rsidR="00783B6E">
        <w:rPr>
          <w:color w:val="0F0F0F"/>
        </w:rPr>
        <w:t>the</w:t>
      </w:r>
      <w:r w:rsidR="00783B6E">
        <w:rPr>
          <w:color w:val="0F0F0F"/>
          <w:spacing w:val="-15"/>
        </w:rPr>
        <w:t xml:space="preserve"> </w:t>
      </w:r>
      <w:r w:rsidR="00783B6E">
        <w:rPr>
          <w:color w:val="0F0F0F"/>
        </w:rPr>
        <w:t>limited</w:t>
      </w:r>
      <w:r w:rsidR="00783B6E">
        <w:rPr>
          <w:color w:val="0F0F0F"/>
          <w:spacing w:val="-8"/>
        </w:rPr>
        <w:t xml:space="preserve"> </w:t>
      </w:r>
      <w:r w:rsidR="00783B6E">
        <w:rPr>
          <w:color w:val="0F0F0F"/>
        </w:rPr>
        <w:t>practice</w:t>
      </w:r>
      <w:r w:rsidR="00783B6E">
        <w:rPr>
          <w:color w:val="0F0F0F"/>
          <w:spacing w:val="1"/>
        </w:rPr>
        <w:t xml:space="preserve"> </w:t>
      </w:r>
      <w:r w:rsidR="00783B6E">
        <w:rPr>
          <w:color w:val="0F0F0F"/>
        </w:rPr>
        <w:t>of</w:t>
      </w:r>
      <w:r w:rsidR="00783B6E">
        <w:rPr>
          <w:color w:val="0F0F0F"/>
          <w:spacing w:val="-15"/>
        </w:rPr>
        <w:t xml:space="preserve"> </w:t>
      </w:r>
      <w:r w:rsidR="00783B6E">
        <w:rPr>
          <w:color w:val="0F0F0F"/>
        </w:rPr>
        <w:t>law</w:t>
      </w:r>
      <w:r w:rsidR="00783B6E">
        <w:rPr>
          <w:color w:val="0F0F0F"/>
          <w:spacing w:val="-7"/>
        </w:rPr>
        <w:t xml:space="preserve"> </w:t>
      </w:r>
      <w:r w:rsidR="00783B6E">
        <w:rPr>
          <w:color w:val="0F0F0F"/>
        </w:rPr>
        <w:t>by</w:t>
      </w:r>
      <w:r w:rsidR="00783B6E">
        <w:rPr>
          <w:color w:val="0F0F0F"/>
          <w:spacing w:val="-15"/>
        </w:rPr>
        <w:t xml:space="preserve"> </w:t>
      </w:r>
      <w:r w:rsidR="00783B6E">
        <w:rPr>
          <w:color w:val="0F0F0F"/>
        </w:rPr>
        <w:t>nonlawyers</w:t>
      </w:r>
      <w:r w:rsidR="00783B6E">
        <w:rPr>
          <w:color w:val="0F0F0F"/>
          <w:spacing w:val="4"/>
        </w:rPr>
        <w:t xml:space="preserve"> </w:t>
      </w:r>
      <w:r w:rsidR="00783B6E">
        <w:rPr>
          <w:color w:val="0F0F0F"/>
        </w:rPr>
        <w:t>and</w:t>
      </w:r>
      <w:r w:rsidR="00783B6E">
        <w:rPr>
          <w:color w:val="0F0F0F"/>
          <w:spacing w:val="-12"/>
        </w:rPr>
        <w:t xml:space="preserve"> </w:t>
      </w:r>
      <w:r w:rsidR="00783B6E">
        <w:rPr>
          <w:color w:val="0F0F0F"/>
        </w:rPr>
        <w:t>the</w:t>
      </w:r>
      <w:r w:rsidR="00783B6E">
        <w:rPr>
          <w:color w:val="0F0F0F"/>
          <w:spacing w:val="-10"/>
        </w:rPr>
        <w:t xml:space="preserve"> </w:t>
      </w:r>
      <w:r w:rsidR="00783B6E">
        <w:rPr>
          <w:color w:val="0F0F0F"/>
        </w:rPr>
        <w:t>creation</w:t>
      </w:r>
      <w:r w:rsidR="00783B6E">
        <w:rPr>
          <w:color w:val="0F0F0F"/>
          <w:spacing w:val="-6"/>
        </w:rPr>
        <w:t xml:space="preserve"> </w:t>
      </w:r>
      <w:r w:rsidR="00783B6E">
        <w:rPr>
          <w:color w:val="0F0F0F"/>
        </w:rPr>
        <w:t>of</w:t>
      </w:r>
      <w:r w:rsidR="00783B6E">
        <w:rPr>
          <w:color w:val="0F0F0F"/>
          <w:spacing w:val="-15"/>
        </w:rPr>
        <w:t xml:space="preserve"> </w:t>
      </w:r>
      <w:r w:rsidR="00783B6E">
        <w:rPr>
          <w:color w:val="0F0F0F"/>
        </w:rPr>
        <w:t>a</w:t>
      </w:r>
      <w:r w:rsidR="00783B6E">
        <w:rPr>
          <w:color w:val="0F0F0F"/>
          <w:spacing w:val="-14"/>
        </w:rPr>
        <w:t xml:space="preserve"> </w:t>
      </w:r>
      <w:r w:rsidR="00783B6E">
        <w:rPr>
          <w:color w:val="0F0F0F"/>
        </w:rPr>
        <w:t>task</w:t>
      </w:r>
      <w:r w:rsidR="00783B6E">
        <w:rPr>
          <w:color w:val="0F0F0F"/>
          <w:spacing w:val="-8"/>
        </w:rPr>
        <w:t xml:space="preserve"> </w:t>
      </w:r>
      <w:r w:rsidR="00783B6E">
        <w:rPr>
          <w:color w:val="0F0F0F"/>
          <w:spacing w:val="-2"/>
        </w:rPr>
        <w:t>force</w:t>
      </w:r>
      <w:r w:rsidR="00783B6E" w:rsidRPr="00783B6E">
        <w:rPr>
          <w:color w:val="0F0F0F"/>
        </w:rPr>
        <w:t xml:space="preserve"> </w:t>
      </w:r>
      <w:r w:rsidR="00783B6E">
        <w:rPr>
          <w:color w:val="0F0F0F"/>
        </w:rPr>
        <w:t>to</w:t>
      </w:r>
      <w:r w:rsidR="00783B6E">
        <w:rPr>
          <w:color w:val="0F0F0F"/>
          <w:spacing w:val="-15"/>
        </w:rPr>
        <w:t xml:space="preserve"> </w:t>
      </w:r>
      <w:r w:rsidR="00783B6E">
        <w:rPr>
          <w:color w:val="0F0F0F"/>
        </w:rPr>
        <w:t>encourage</w:t>
      </w:r>
      <w:r w:rsidR="00783B6E">
        <w:rPr>
          <w:color w:val="0F0F0F"/>
          <w:spacing w:val="11"/>
        </w:rPr>
        <w:t xml:space="preserve"> </w:t>
      </w:r>
      <w:r w:rsidR="00783B6E">
        <w:rPr>
          <w:color w:val="0F0F0F"/>
        </w:rPr>
        <w:t>the</w:t>
      </w:r>
      <w:r w:rsidR="00783B6E">
        <w:rPr>
          <w:color w:val="0F0F0F"/>
          <w:spacing w:val="-1"/>
        </w:rPr>
        <w:t xml:space="preserve"> </w:t>
      </w:r>
      <w:r w:rsidR="00783B6E">
        <w:rPr>
          <w:color w:val="0F0F0F"/>
        </w:rPr>
        <w:t>Supreme</w:t>
      </w:r>
      <w:r w:rsidR="00783B6E">
        <w:rPr>
          <w:color w:val="0F0F0F"/>
          <w:spacing w:val="2"/>
        </w:rPr>
        <w:t xml:space="preserve"> </w:t>
      </w:r>
      <w:r w:rsidR="00783B6E">
        <w:rPr>
          <w:color w:val="0F0F0F"/>
        </w:rPr>
        <w:t>Court's</w:t>
      </w:r>
      <w:r w:rsidR="00783B6E">
        <w:rPr>
          <w:color w:val="0F0F0F"/>
          <w:spacing w:val="-4"/>
        </w:rPr>
        <w:t xml:space="preserve"> </w:t>
      </w:r>
      <w:r w:rsidR="00783B6E">
        <w:rPr>
          <w:color w:val="0F0F0F"/>
        </w:rPr>
        <w:t>use</w:t>
      </w:r>
      <w:r w:rsidR="00783B6E">
        <w:rPr>
          <w:color w:val="0F0F0F"/>
          <w:spacing w:val="-10"/>
        </w:rPr>
        <w:t xml:space="preserve"> </w:t>
      </w:r>
      <w:r w:rsidR="00783B6E">
        <w:rPr>
          <w:color w:val="0F0F0F"/>
        </w:rPr>
        <w:t>of</w:t>
      </w:r>
      <w:r w:rsidR="00783B6E">
        <w:rPr>
          <w:color w:val="0F0F0F"/>
          <w:spacing w:val="-7"/>
        </w:rPr>
        <w:t xml:space="preserve"> </w:t>
      </w:r>
      <w:r w:rsidR="00783B6E">
        <w:rPr>
          <w:color w:val="0F0F0F"/>
        </w:rPr>
        <w:t>such</w:t>
      </w:r>
      <w:r w:rsidR="00783B6E">
        <w:rPr>
          <w:color w:val="0F0F0F"/>
          <w:spacing w:val="-8"/>
        </w:rPr>
        <w:t xml:space="preserve"> </w:t>
      </w:r>
      <w:r w:rsidR="00783B6E">
        <w:rPr>
          <w:color w:val="0F0F0F"/>
          <w:spacing w:val="-2"/>
        </w:rPr>
        <w:t>power</w:t>
      </w:r>
      <w:r w:rsidRPr="00CB37C7">
        <w:rPr>
          <w:color w:val="auto"/>
        </w:rPr>
        <w:t xml:space="preserve">. </w:t>
      </w:r>
    </w:p>
    <w:p w14:paraId="4C177F54" w14:textId="698B308B" w:rsidR="00B92C78" w:rsidRDefault="00B92C78" w:rsidP="00783B6E">
      <w:pPr>
        <w:pStyle w:val="EnactingClause"/>
        <w:rPr>
          <w:color w:val="auto"/>
        </w:rPr>
      </w:pPr>
      <w:r w:rsidRPr="00CB37C7">
        <w:rPr>
          <w:color w:val="auto"/>
        </w:rPr>
        <w:t>Be it enacted by the Legislature of West Virginia:</w:t>
      </w:r>
      <w:r w:rsidR="00783B6E">
        <w:rPr>
          <w:color w:val="auto"/>
        </w:rPr>
        <w:t xml:space="preserve"> </w:t>
      </w:r>
    </w:p>
    <w:p w14:paraId="28EEACFF" w14:textId="77777777" w:rsidR="00783B6E" w:rsidRDefault="00783B6E" w:rsidP="00AA511E">
      <w:pPr>
        <w:pStyle w:val="Note"/>
        <w:ind w:left="0"/>
        <w:rPr>
          <w:color w:val="auto"/>
        </w:rPr>
        <w:sectPr w:rsidR="00783B6E" w:rsidSect="00505DB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053601" w14:textId="53116C12" w:rsidR="00783B6E" w:rsidRDefault="00783B6E" w:rsidP="00F957A1">
      <w:pPr>
        <w:pStyle w:val="ArticleHeading"/>
      </w:pPr>
      <w:r>
        <w:t xml:space="preserve">ARTICLE 1. SUPREME COURT OF APPEALS. </w:t>
      </w:r>
    </w:p>
    <w:p w14:paraId="1F56C54D" w14:textId="77777777" w:rsidR="00783B6E" w:rsidRDefault="00783B6E" w:rsidP="00AA511E">
      <w:pPr>
        <w:pStyle w:val="Note"/>
        <w:ind w:left="0"/>
        <w:rPr>
          <w:color w:val="auto"/>
        </w:rPr>
        <w:sectPr w:rsidR="00783B6E" w:rsidSect="00783B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AADB2E4" w14:textId="1BDB6AB2" w:rsidR="00783B6E" w:rsidRPr="00783B6E" w:rsidRDefault="00783B6E" w:rsidP="00783B6E">
      <w:pPr>
        <w:pStyle w:val="SectionHeading"/>
        <w:rPr>
          <w:u w:val="single"/>
        </w:rPr>
        <w:sectPr w:rsidR="00783B6E" w:rsidRPr="00783B6E" w:rsidSect="00783B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83B6E">
        <w:rPr>
          <w:u w:val="single"/>
        </w:rPr>
        <w:t>§51-1-14.  Allowing for the limited practice of law by nonlawyers in certain circumstances.</w:t>
      </w:r>
    </w:p>
    <w:p w14:paraId="1C2D5BA2" w14:textId="52490155" w:rsidR="00783B6E" w:rsidRPr="00783B6E" w:rsidRDefault="00783B6E" w:rsidP="00630881">
      <w:pPr>
        <w:pStyle w:val="SectionBody"/>
        <w:rPr>
          <w:u w:val="single"/>
        </w:rPr>
      </w:pPr>
      <w:r w:rsidRPr="00783B6E">
        <w:rPr>
          <w:u w:val="single"/>
        </w:rPr>
        <w:t xml:space="preserve">(a) The West Virginia Supreme Court </w:t>
      </w:r>
      <w:r w:rsidR="00B62411">
        <w:rPr>
          <w:u w:val="single"/>
        </w:rPr>
        <w:t xml:space="preserve">of Appeals </w:t>
      </w:r>
      <w:r w:rsidRPr="00783B6E">
        <w:rPr>
          <w:u w:val="single"/>
        </w:rPr>
        <w:t>may promulgate rules allowing the limited practice</w:t>
      </w:r>
      <w:r w:rsidR="00630881">
        <w:rPr>
          <w:u w:val="single"/>
        </w:rPr>
        <w:t xml:space="preserve"> </w:t>
      </w:r>
      <w:r w:rsidRPr="00783B6E">
        <w:rPr>
          <w:u w:val="single"/>
        </w:rPr>
        <w:t>of law, by nonlawyers as limited license legal practitioners.</w:t>
      </w:r>
    </w:p>
    <w:p w14:paraId="042A77C9" w14:textId="085EE92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(b) The Task Force for Limited License Legal Practitioners shall examine and recommend</w:t>
      </w:r>
    </w:p>
    <w:p w14:paraId="1573441E" w14:textId="2441A2D3" w:rsidR="00783B6E" w:rsidRPr="00783B6E" w:rsidRDefault="00783B6E" w:rsidP="00783B6E">
      <w:pPr>
        <w:pStyle w:val="SectionBody"/>
        <w:ind w:firstLine="0"/>
        <w:rPr>
          <w:u w:val="single"/>
        </w:rPr>
      </w:pPr>
      <w:r w:rsidRPr="00783B6E">
        <w:rPr>
          <w:u w:val="single"/>
        </w:rPr>
        <w:t>whether nonlawyers</w:t>
      </w:r>
      <w:r w:rsidR="00630881">
        <w:rPr>
          <w:u w:val="single"/>
        </w:rPr>
        <w:t xml:space="preserve">, </w:t>
      </w:r>
      <w:r w:rsidRPr="00783B6E">
        <w:rPr>
          <w:u w:val="single"/>
        </w:rPr>
        <w:t>with specific qualification, should be allowed to provide limited legal services in certain areas of practice.</w:t>
      </w:r>
    </w:p>
    <w:p w14:paraId="10A098B6" w14:textId="73AA7EA2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 xml:space="preserve">(c) The </w:t>
      </w:r>
      <w:r w:rsidR="00630881">
        <w:rPr>
          <w:u w:val="single"/>
        </w:rPr>
        <w:t>t</w:t>
      </w:r>
      <w:r w:rsidRPr="00783B6E">
        <w:rPr>
          <w:u w:val="single"/>
        </w:rPr>
        <w:t xml:space="preserve">ask </w:t>
      </w:r>
      <w:r w:rsidR="00630881">
        <w:rPr>
          <w:u w:val="single"/>
        </w:rPr>
        <w:t>f</w:t>
      </w:r>
      <w:r w:rsidRPr="00783B6E">
        <w:rPr>
          <w:u w:val="single"/>
        </w:rPr>
        <w:t>orce shall include at least a representative from:</w:t>
      </w:r>
    </w:p>
    <w:p w14:paraId="5042DD33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(1) The West Virginia State Bar Association;</w:t>
      </w:r>
    </w:p>
    <w:p w14:paraId="07DCE650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(2) The West Virginia University College of Law;</w:t>
      </w:r>
    </w:p>
    <w:p w14:paraId="5EA16A09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(3) Marshall University;</w:t>
      </w:r>
    </w:p>
    <w:p w14:paraId="1D84E6BF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(4) The West Virginia Law Institute; and</w:t>
      </w:r>
    </w:p>
    <w:p w14:paraId="5CB6CB20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(5) Circuit Judge.</w:t>
      </w:r>
    </w:p>
    <w:p w14:paraId="62BD0D76" w14:textId="427A26D0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 xml:space="preserve">(d) The </w:t>
      </w:r>
      <w:r w:rsidR="00630881">
        <w:rPr>
          <w:u w:val="single"/>
        </w:rPr>
        <w:t>t</w:t>
      </w:r>
      <w:r w:rsidRPr="00783B6E">
        <w:rPr>
          <w:u w:val="single"/>
        </w:rPr>
        <w:t xml:space="preserve">ask </w:t>
      </w:r>
      <w:r w:rsidR="00630881">
        <w:rPr>
          <w:u w:val="single"/>
        </w:rPr>
        <w:t>f</w:t>
      </w:r>
      <w:r w:rsidRPr="00783B6E">
        <w:rPr>
          <w:u w:val="single"/>
        </w:rPr>
        <w:t>orce shall consider in its recommendations:</w:t>
      </w:r>
    </w:p>
    <w:p w14:paraId="537D68B7" w14:textId="1CC0FB40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(1) The certification required to be a limited license legal practitioner;</w:t>
      </w:r>
    </w:p>
    <w:p w14:paraId="19995E3C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(A) Including the registration for the limited legal practitioner;</w:t>
      </w:r>
    </w:p>
    <w:p w14:paraId="0D271C1C" w14:textId="2B9B4DE8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(B) The examination for the limited license legal practitioner</w:t>
      </w:r>
      <w:r w:rsidR="00B06085">
        <w:rPr>
          <w:u w:val="single"/>
        </w:rPr>
        <w:t>;</w:t>
      </w:r>
    </w:p>
    <w:p w14:paraId="64C1BAF0" w14:textId="5908C5DF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(i) The entity that will administer the exam</w:t>
      </w:r>
      <w:r w:rsidR="00B06085">
        <w:rPr>
          <w:u w:val="single"/>
        </w:rPr>
        <w:t>;</w:t>
      </w:r>
    </w:p>
    <w:p w14:paraId="1F903883" w14:textId="71C82383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(ii) The entity that will review the exam</w:t>
      </w:r>
      <w:r w:rsidR="00B06085">
        <w:rPr>
          <w:u w:val="single"/>
        </w:rPr>
        <w:t>;</w:t>
      </w:r>
    </w:p>
    <w:p w14:paraId="7AD4C989" w14:textId="60B33524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(iii) The scope of legal practice within the exam</w:t>
      </w:r>
      <w:r w:rsidR="00B06085">
        <w:rPr>
          <w:u w:val="single"/>
        </w:rPr>
        <w:t>;</w:t>
      </w:r>
    </w:p>
    <w:p w14:paraId="6FCA2AD2" w14:textId="152D042D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(iv) The scope of professional responsibility of the exam</w:t>
      </w:r>
      <w:r w:rsidR="00B06085">
        <w:rPr>
          <w:u w:val="single"/>
        </w:rPr>
        <w:t>;</w:t>
      </w:r>
    </w:p>
    <w:p w14:paraId="0622EDBE" w14:textId="256EEF1F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lastRenderedPageBreak/>
        <w:t>(v) Notice to the applicant of the results from the exam</w:t>
      </w:r>
      <w:r w:rsidR="00B06085">
        <w:rPr>
          <w:u w:val="single"/>
        </w:rPr>
        <w:t>;</w:t>
      </w:r>
      <w:r w:rsidRPr="00783B6E">
        <w:rPr>
          <w:u w:val="single"/>
        </w:rPr>
        <w:t xml:space="preserve"> and</w:t>
      </w:r>
    </w:p>
    <w:p w14:paraId="274F4D63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(vi) The duration for which an examination is valid.</w:t>
      </w:r>
    </w:p>
    <w:p w14:paraId="5A882DB9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(2) Prerequisites required for entry into certification program;</w:t>
      </w:r>
    </w:p>
    <w:p w14:paraId="471B76EA" w14:textId="3D74B136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(A) The requirements for the application;</w:t>
      </w:r>
    </w:p>
    <w:p w14:paraId="6B0BA5BB" w14:textId="755245F3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(B) Prior educational experience;</w:t>
      </w:r>
    </w:p>
    <w:p w14:paraId="60061AEA" w14:textId="39426654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(C) Minimum age requirement; and</w:t>
      </w:r>
    </w:p>
    <w:p w14:paraId="5536766C" w14:textId="4A31A66B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(D) Character and Fitness considerations.</w:t>
      </w:r>
    </w:p>
    <w:p w14:paraId="1D991739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(3) Consider modifications to the certification requirements for applicants with relevant educational experience:</w:t>
      </w:r>
    </w:p>
    <w:p w14:paraId="27EEBC1F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(A) Provide them an alternative path to achieving required hours by a showing for applicants with:</w:t>
      </w:r>
    </w:p>
    <w:p w14:paraId="26FED017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(i) A relevant Master's degree;</w:t>
      </w:r>
    </w:p>
    <w:p w14:paraId="236D64DF" w14:textId="494C36E5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(ii) A paralegal certification</w:t>
      </w:r>
      <w:r w:rsidR="00B06085">
        <w:rPr>
          <w:u w:val="single"/>
        </w:rPr>
        <w:t>.</w:t>
      </w:r>
    </w:p>
    <w:p w14:paraId="685726F7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(B) Potential changes to the certification if an individual was seeking a certification in multiple practice areas.</w:t>
      </w:r>
    </w:p>
    <w:p w14:paraId="6562BA3D" w14:textId="2C2A94B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 xml:space="preserve">(4) The areas of practice available to be a limited license legal practitioner beginning with child abuse and/or neglect proceedings and mental hygiene </w:t>
      </w:r>
      <w:r w:rsidR="00B06085" w:rsidRPr="00783B6E">
        <w:rPr>
          <w:u w:val="single"/>
        </w:rPr>
        <w:t>proceedings and</w:t>
      </w:r>
      <w:r w:rsidRPr="00783B6E">
        <w:rPr>
          <w:u w:val="single"/>
        </w:rPr>
        <w:t xml:space="preserve"> limited to areas of civil litigation.</w:t>
      </w:r>
    </w:p>
    <w:p w14:paraId="1BF7B7D1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(5) The services a limited legal license practitioner may provide;</w:t>
      </w:r>
    </w:p>
    <w:p w14:paraId="771CECC1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(6) The implementation process for limited license legal practitioners;</w:t>
      </w:r>
    </w:p>
    <w:p w14:paraId="4B66E256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(7) The cost associated with establishing a certification program at different institutions;</w:t>
      </w:r>
    </w:p>
    <w:p w14:paraId="51B842A2" w14:textId="7777777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(8) The cost to potential limited legal license practitioners; and</w:t>
      </w:r>
    </w:p>
    <w:p w14:paraId="6473D063" w14:textId="6F1914C1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(9) The timeline for establishing the certification programs for initial and subsequent areas of practice.</w:t>
      </w:r>
    </w:p>
    <w:p w14:paraId="3C714CFE" w14:textId="26D81D5E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t>(e) The task force shall identify changes to the Rules of Professional Conduct to accommodate limited license legal practitioners.</w:t>
      </w:r>
    </w:p>
    <w:p w14:paraId="0AB575D3" w14:textId="1F3C65E7" w:rsidR="00783B6E" w:rsidRPr="00783B6E" w:rsidRDefault="00783B6E" w:rsidP="00783B6E">
      <w:pPr>
        <w:pStyle w:val="SectionBody"/>
        <w:rPr>
          <w:u w:val="single"/>
        </w:rPr>
      </w:pPr>
      <w:r w:rsidRPr="00783B6E">
        <w:rPr>
          <w:u w:val="single"/>
        </w:rPr>
        <w:lastRenderedPageBreak/>
        <w:t>(f) The task force shall identify a process by which aggrieved parties may make a complaint against a limited license legal practitioner.</w:t>
      </w:r>
    </w:p>
    <w:p w14:paraId="6E75D3F3" w14:textId="77777777" w:rsidR="00783B6E" w:rsidRDefault="00783B6E" w:rsidP="00783B6E">
      <w:pPr>
        <w:pStyle w:val="Note"/>
      </w:pPr>
    </w:p>
    <w:p w14:paraId="3951093D" w14:textId="742B4DDF" w:rsidR="00783B6E" w:rsidRDefault="00783B6E" w:rsidP="00783B6E">
      <w:pPr>
        <w:pStyle w:val="Note"/>
        <w:rPr>
          <w:sz w:val="19"/>
        </w:rPr>
      </w:pPr>
      <w:r>
        <w:rPr>
          <w:color w:val="131313"/>
          <w:w w:val="105"/>
          <w:sz w:val="19"/>
        </w:rPr>
        <w:t>NOTE:</w:t>
      </w:r>
      <w:r>
        <w:rPr>
          <w:color w:val="131313"/>
          <w:spacing w:val="-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The</w:t>
      </w:r>
      <w:r>
        <w:rPr>
          <w:color w:val="131313"/>
          <w:spacing w:val="-9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purpose of</w:t>
      </w:r>
      <w:r>
        <w:rPr>
          <w:color w:val="131313"/>
          <w:spacing w:val="-1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this</w:t>
      </w:r>
      <w:r>
        <w:rPr>
          <w:color w:val="131313"/>
          <w:spacing w:val="-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bill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is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to</w:t>
      </w:r>
      <w:r>
        <w:rPr>
          <w:color w:val="131313"/>
          <w:spacing w:val="-1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enumerate</w:t>
      </w:r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the</w:t>
      </w:r>
      <w:r>
        <w:rPr>
          <w:color w:val="131313"/>
          <w:spacing w:val="-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West</w:t>
      </w:r>
      <w:r>
        <w:rPr>
          <w:color w:val="131313"/>
          <w:spacing w:val="-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Virginia</w:t>
      </w:r>
      <w:r>
        <w:rPr>
          <w:color w:val="131313"/>
          <w:spacing w:val="-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Supreme</w:t>
      </w:r>
      <w:r>
        <w:rPr>
          <w:color w:val="131313"/>
          <w:spacing w:val="-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Court</w:t>
      </w:r>
      <w:r w:rsidR="00B62411">
        <w:rPr>
          <w:color w:val="131313"/>
          <w:w w:val="105"/>
          <w:sz w:val="19"/>
        </w:rPr>
        <w:t xml:space="preserve"> of Appeals</w:t>
      </w:r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capacity to</w:t>
      </w:r>
      <w:r>
        <w:rPr>
          <w:color w:val="131313"/>
          <w:spacing w:val="-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create</w:t>
      </w:r>
      <w:r>
        <w:rPr>
          <w:color w:val="131313"/>
          <w:spacing w:val="-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rules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regarding</w:t>
      </w:r>
      <w:r>
        <w:rPr>
          <w:color w:val="131313"/>
          <w:spacing w:val="-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the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scope of practice</w:t>
      </w:r>
      <w:r>
        <w:rPr>
          <w:color w:val="131313"/>
          <w:spacing w:val="-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in the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state</w:t>
      </w:r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of</w:t>
      </w:r>
      <w:r>
        <w:rPr>
          <w:color w:val="131313"/>
          <w:spacing w:val="-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West</w:t>
      </w:r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Virginia</w:t>
      </w:r>
      <w:r w:rsidR="00505DBA">
        <w:rPr>
          <w:color w:val="131313"/>
          <w:w w:val="105"/>
          <w:sz w:val="19"/>
        </w:rPr>
        <w:t xml:space="preserve"> w</w:t>
      </w:r>
      <w:r>
        <w:rPr>
          <w:color w:val="131313"/>
          <w:w w:val="105"/>
          <w:sz w:val="19"/>
        </w:rPr>
        <w:t>hile creating a task force to encourage the West Virginia Supreme Court</w:t>
      </w:r>
      <w:r w:rsidR="00B62411">
        <w:rPr>
          <w:color w:val="131313"/>
          <w:w w:val="105"/>
          <w:sz w:val="19"/>
        </w:rPr>
        <w:t xml:space="preserve"> of Appeals</w:t>
      </w:r>
      <w:r>
        <w:rPr>
          <w:color w:val="131313"/>
          <w:w w:val="105"/>
          <w:sz w:val="19"/>
        </w:rPr>
        <w:t xml:space="preserve"> to create rules allowing nonlawyers the ability to practice law under a limited license.</w:t>
      </w:r>
    </w:p>
    <w:p w14:paraId="74DC3BA7" w14:textId="77777777" w:rsidR="00783B6E" w:rsidRDefault="00783B6E" w:rsidP="00783B6E">
      <w:pPr>
        <w:pStyle w:val="Note"/>
        <w:rPr>
          <w:sz w:val="19"/>
        </w:rPr>
      </w:pPr>
      <w:r>
        <w:rPr>
          <w:color w:val="131313"/>
          <w:w w:val="105"/>
          <w:sz w:val="19"/>
        </w:rPr>
        <w:t>Strike-throughs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indicate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language that</w:t>
      </w:r>
      <w:r>
        <w:rPr>
          <w:color w:val="131313"/>
          <w:spacing w:val="-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would</w:t>
      </w:r>
      <w:r>
        <w:rPr>
          <w:color w:val="131313"/>
          <w:spacing w:val="-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be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stricken</w:t>
      </w:r>
      <w:r>
        <w:rPr>
          <w:color w:val="131313"/>
          <w:spacing w:val="-8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from</w:t>
      </w:r>
      <w:r>
        <w:rPr>
          <w:color w:val="131313"/>
          <w:spacing w:val="-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a</w:t>
      </w:r>
      <w:r>
        <w:rPr>
          <w:color w:val="131313"/>
          <w:spacing w:val="-1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heading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or</w:t>
      </w:r>
      <w:r>
        <w:rPr>
          <w:color w:val="131313"/>
          <w:spacing w:val="-8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the</w:t>
      </w:r>
      <w:r>
        <w:rPr>
          <w:color w:val="131313"/>
          <w:spacing w:val="-1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present</w:t>
      </w:r>
      <w:r>
        <w:rPr>
          <w:color w:val="131313"/>
          <w:spacing w:val="-9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law and underscoring indicates new language that would be added.</w:t>
      </w:r>
    </w:p>
    <w:p w14:paraId="3FE97559" w14:textId="77777777" w:rsidR="00783B6E" w:rsidRDefault="00783B6E" w:rsidP="00783B6E">
      <w:pPr>
        <w:pStyle w:val="Note"/>
        <w:rPr>
          <w:sz w:val="19"/>
        </w:rPr>
      </w:pPr>
    </w:p>
    <w:p w14:paraId="7A479E96" w14:textId="77777777" w:rsidR="00783B6E" w:rsidRDefault="00783B6E" w:rsidP="00783B6E">
      <w:pPr>
        <w:pStyle w:val="Note"/>
        <w:rPr>
          <w:sz w:val="19"/>
        </w:rPr>
      </w:pPr>
    </w:p>
    <w:p w14:paraId="3C7C9EAB" w14:textId="77777777" w:rsidR="00E831B3" w:rsidRPr="00CB37C7" w:rsidRDefault="00E831B3" w:rsidP="00EF6030">
      <w:pPr>
        <w:pStyle w:val="References"/>
        <w:rPr>
          <w:color w:val="auto"/>
        </w:rPr>
      </w:pPr>
    </w:p>
    <w:sectPr w:rsidR="00E831B3" w:rsidRPr="00CB37C7" w:rsidSect="00783B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0032" w14:textId="77777777" w:rsidR="00B02E1C" w:rsidRPr="00B844FE" w:rsidRDefault="00B02E1C" w:rsidP="00B844FE">
      <w:r>
        <w:separator/>
      </w:r>
    </w:p>
  </w:endnote>
  <w:endnote w:type="continuationSeparator" w:id="0">
    <w:p w14:paraId="20DDB75C" w14:textId="77777777" w:rsidR="00B02E1C" w:rsidRPr="00B844FE" w:rsidRDefault="00B02E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09CC" w14:textId="77777777" w:rsidR="00B92C78" w:rsidRDefault="00B92C78" w:rsidP="008C37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D3D3F1" w14:textId="77777777" w:rsidR="00B92C78" w:rsidRPr="00B92C78" w:rsidRDefault="00B92C78" w:rsidP="00B92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62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041FE" w14:textId="34290E36" w:rsidR="00505DBA" w:rsidRDefault="00505D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6F06B" w14:textId="77777777" w:rsidR="00505DBA" w:rsidRDefault="00505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2E13" w14:textId="77777777" w:rsidR="00B02E1C" w:rsidRPr="00B844FE" w:rsidRDefault="00B02E1C" w:rsidP="00B844FE">
      <w:r>
        <w:separator/>
      </w:r>
    </w:p>
  </w:footnote>
  <w:footnote w:type="continuationSeparator" w:id="0">
    <w:p w14:paraId="56226170" w14:textId="77777777" w:rsidR="00B02E1C" w:rsidRPr="00B844FE" w:rsidRDefault="00B02E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61CA" w14:textId="77777777" w:rsidR="00B92C78" w:rsidRPr="00B92C78" w:rsidRDefault="00B92C78" w:rsidP="00B92C78">
    <w:pPr>
      <w:pStyle w:val="Header"/>
    </w:pPr>
    <w:r>
      <w:t>CS for SB 282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714D" w14:textId="1EA03EF4" w:rsidR="00B92C78" w:rsidRPr="00B92C78" w:rsidRDefault="00F96227" w:rsidP="00175756">
    <w:pPr>
      <w:pStyle w:val="HeaderStyle"/>
    </w:pPr>
    <w:r>
      <w:t xml:space="preserve">Intr </w:t>
    </w:r>
    <w:r w:rsidR="00B06085">
      <w:t>H</w:t>
    </w:r>
    <w:r>
      <w:t>B</w:t>
    </w:r>
    <w:r>
      <w:tab/>
    </w:r>
    <w:r>
      <w:tab/>
    </w:r>
    <w:sdt>
      <w:sdtPr>
        <w:alias w:val="CBD Number"/>
        <w:tag w:val="CBD Number"/>
        <w:id w:val="154653306"/>
        <w:placeholder>
          <w:docPart w:val="DefaultPlaceholder_-1854013440"/>
        </w:placeholder>
      </w:sdtPr>
      <w:sdtEndPr/>
      <w:sdtContent>
        <w:r>
          <w:t>2025R</w:t>
        </w:r>
        <w:r w:rsidR="00505DBA">
          <w:t>3165</w:t>
        </w:r>
      </w:sdtContent>
    </w:sdt>
    <w:r w:rsidR="005E3BDD">
      <w:tab/>
    </w:r>
    <w:r w:rsidR="005E3B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BFF"/>
    <w:multiLevelType w:val="hybridMultilevel"/>
    <w:tmpl w:val="64381C1E"/>
    <w:lvl w:ilvl="0" w:tplc="27729218">
      <w:start w:val="1"/>
      <w:numFmt w:val="decimal"/>
      <w:lvlText w:val="%1"/>
      <w:lvlJc w:val="left"/>
      <w:pPr>
        <w:ind w:left="1552" w:hanging="122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98"/>
        <w:sz w:val="22"/>
        <w:szCs w:val="22"/>
        <w:lang w:val="en-US" w:eastAsia="en-US" w:bidi="ar-SA"/>
      </w:rPr>
    </w:lvl>
    <w:lvl w:ilvl="1" w:tplc="178CC0C2">
      <w:start w:val="1"/>
      <w:numFmt w:val="lowerLetter"/>
      <w:lvlText w:val="%2."/>
      <w:lvlJc w:val="left"/>
      <w:pPr>
        <w:ind w:left="4777" w:hanging="364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2"/>
        <w:sz w:val="22"/>
        <w:szCs w:val="22"/>
        <w:lang w:val="en-US" w:eastAsia="en-US" w:bidi="ar-SA"/>
      </w:rPr>
    </w:lvl>
    <w:lvl w:ilvl="2" w:tplc="6B0E8432">
      <w:numFmt w:val="bullet"/>
      <w:lvlText w:val="•"/>
      <w:lvlJc w:val="left"/>
      <w:pPr>
        <w:ind w:left="5395" w:hanging="364"/>
      </w:pPr>
      <w:rPr>
        <w:rFonts w:hint="default"/>
        <w:lang w:val="en-US" w:eastAsia="en-US" w:bidi="ar-SA"/>
      </w:rPr>
    </w:lvl>
    <w:lvl w:ilvl="3" w:tplc="FF1A525E">
      <w:numFmt w:val="bullet"/>
      <w:lvlText w:val="•"/>
      <w:lvlJc w:val="left"/>
      <w:pPr>
        <w:ind w:left="6011" w:hanging="364"/>
      </w:pPr>
      <w:rPr>
        <w:rFonts w:hint="default"/>
        <w:lang w:val="en-US" w:eastAsia="en-US" w:bidi="ar-SA"/>
      </w:rPr>
    </w:lvl>
    <w:lvl w:ilvl="4" w:tplc="7430FA32">
      <w:numFmt w:val="bullet"/>
      <w:lvlText w:val="•"/>
      <w:lvlJc w:val="left"/>
      <w:pPr>
        <w:ind w:left="6626" w:hanging="364"/>
      </w:pPr>
      <w:rPr>
        <w:rFonts w:hint="default"/>
        <w:lang w:val="en-US" w:eastAsia="en-US" w:bidi="ar-SA"/>
      </w:rPr>
    </w:lvl>
    <w:lvl w:ilvl="5" w:tplc="0CF8CC4C">
      <w:numFmt w:val="bullet"/>
      <w:lvlText w:val="•"/>
      <w:lvlJc w:val="left"/>
      <w:pPr>
        <w:ind w:left="7242" w:hanging="364"/>
      </w:pPr>
      <w:rPr>
        <w:rFonts w:hint="default"/>
        <w:lang w:val="en-US" w:eastAsia="en-US" w:bidi="ar-SA"/>
      </w:rPr>
    </w:lvl>
    <w:lvl w:ilvl="6" w:tplc="20522E56">
      <w:numFmt w:val="bullet"/>
      <w:lvlText w:val="•"/>
      <w:lvlJc w:val="left"/>
      <w:pPr>
        <w:ind w:left="7857" w:hanging="364"/>
      </w:pPr>
      <w:rPr>
        <w:rFonts w:hint="default"/>
        <w:lang w:val="en-US" w:eastAsia="en-US" w:bidi="ar-SA"/>
      </w:rPr>
    </w:lvl>
    <w:lvl w:ilvl="7" w:tplc="E10A009C">
      <w:numFmt w:val="bullet"/>
      <w:lvlText w:val="•"/>
      <w:lvlJc w:val="left"/>
      <w:pPr>
        <w:ind w:left="8473" w:hanging="364"/>
      </w:pPr>
      <w:rPr>
        <w:rFonts w:hint="default"/>
        <w:lang w:val="en-US" w:eastAsia="en-US" w:bidi="ar-SA"/>
      </w:rPr>
    </w:lvl>
    <w:lvl w:ilvl="8" w:tplc="C9EE3CD0">
      <w:numFmt w:val="bullet"/>
      <w:lvlText w:val="•"/>
      <w:lvlJc w:val="left"/>
      <w:pPr>
        <w:ind w:left="9088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7085804">
    <w:abstractNumId w:val="1"/>
  </w:num>
  <w:num w:numId="2" w16cid:durableId="84352310">
    <w:abstractNumId w:val="1"/>
  </w:num>
  <w:num w:numId="3" w16cid:durableId="19576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B"/>
    <w:rsid w:val="00002112"/>
    <w:rsid w:val="0000526A"/>
    <w:rsid w:val="00063AE0"/>
    <w:rsid w:val="00085D22"/>
    <w:rsid w:val="00092FAB"/>
    <w:rsid w:val="000C5C77"/>
    <w:rsid w:val="000E3E66"/>
    <w:rsid w:val="000E4150"/>
    <w:rsid w:val="000F05B8"/>
    <w:rsid w:val="0010070F"/>
    <w:rsid w:val="0015112E"/>
    <w:rsid w:val="001552E7"/>
    <w:rsid w:val="001566B4"/>
    <w:rsid w:val="00163AD6"/>
    <w:rsid w:val="0016491D"/>
    <w:rsid w:val="00175756"/>
    <w:rsid w:val="00175B38"/>
    <w:rsid w:val="00187F97"/>
    <w:rsid w:val="001B697E"/>
    <w:rsid w:val="001C279E"/>
    <w:rsid w:val="001D459E"/>
    <w:rsid w:val="001E4261"/>
    <w:rsid w:val="00230763"/>
    <w:rsid w:val="0024771D"/>
    <w:rsid w:val="002534CB"/>
    <w:rsid w:val="0027011C"/>
    <w:rsid w:val="00274200"/>
    <w:rsid w:val="002754C6"/>
    <w:rsid w:val="00275740"/>
    <w:rsid w:val="002A0269"/>
    <w:rsid w:val="002A7D4F"/>
    <w:rsid w:val="002C3BE7"/>
    <w:rsid w:val="00300F39"/>
    <w:rsid w:val="00301F44"/>
    <w:rsid w:val="003026D4"/>
    <w:rsid w:val="00303684"/>
    <w:rsid w:val="003143F5"/>
    <w:rsid w:val="00314854"/>
    <w:rsid w:val="00334AF3"/>
    <w:rsid w:val="00347447"/>
    <w:rsid w:val="0035537E"/>
    <w:rsid w:val="00362F8E"/>
    <w:rsid w:val="00365920"/>
    <w:rsid w:val="003C51CD"/>
    <w:rsid w:val="00401A67"/>
    <w:rsid w:val="00410475"/>
    <w:rsid w:val="00420D22"/>
    <w:rsid w:val="004247A2"/>
    <w:rsid w:val="00445D1B"/>
    <w:rsid w:val="00460701"/>
    <w:rsid w:val="004B2795"/>
    <w:rsid w:val="004C13DD"/>
    <w:rsid w:val="004E3441"/>
    <w:rsid w:val="004E7F0D"/>
    <w:rsid w:val="0050389D"/>
    <w:rsid w:val="00505DBA"/>
    <w:rsid w:val="00514479"/>
    <w:rsid w:val="005223B3"/>
    <w:rsid w:val="00522B6C"/>
    <w:rsid w:val="00542BA0"/>
    <w:rsid w:val="0055317F"/>
    <w:rsid w:val="005638DC"/>
    <w:rsid w:val="00571DC3"/>
    <w:rsid w:val="0057751D"/>
    <w:rsid w:val="00585C66"/>
    <w:rsid w:val="005A5366"/>
    <w:rsid w:val="005B6827"/>
    <w:rsid w:val="005D2D25"/>
    <w:rsid w:val="005D7794"/>
    <w:rsid w:val="005E3BDD"/>
    <w:rsid w:val="006070BD"/>
    <w:rsid w:val="00610345"/>
    <w:rsid w:val="00630881"/>
    <w:rsid w:val="00637E73"/>
    <w:rsid w:val="00647B9A"/>
    <w:rsid w:val="0065000C"/>
    <w:rsid w:val="006565E8"/>
    <w:rsid w:val="00663CF4"/>
    <w:rsid w:val="006865E9"/>
    <w:rsid w:val="00691F0B"/>
    <w:rsid w:val="00691F3E"/>
    <w:rsid w:val="00694BFB"/>
    <w:rsid w:val="006A106B"/>
    <w:rsid w:val="006B3B15"/>
    <w:rsid w:val="006C523D"/>
    <w:rsid w:val="006D4036"/>
    <w:rsid w:val="006D67BB"/>
    <w:rsid w:val="00715E33"/>
    <w:rsid w:val="00724742"/>
    <w:rsid w:val="0073379B"/>
    <w:rsid w:val="00775665"/>
    <w:rsid w:val="00783B6E"/>
    <w:rsid w:val="00797F33"/>
    <w:rsid w:val="007B71E4"/>
    <w:rsid w:val="007E02CF"/>
    <w:rsid w:val="007F1CF5"/>
    <w:rsid w:val="0081249D"/>
    <w:rsid w:val="00834EDE"/>
    <w:rsid w:val="00873104"/>
    <w:rsid w:val="008736AA"/>
    <w:rsid w:val="00896D3D"/>
    <w:rsid w:val="008D275D"/>
    <w:rsid w:val="008E0BA6"/>
    <w:rsid w:val="0090526D"/>
    <w:rsid w:val="00911E9C"/>
    <w:rsid w:val="009463A8"/>
    <w:rsid w:val="00952402"/>
    <w:rsid w:val="009616D9"/>
    <w:rsid w:val="00961E17"/>
    <w:rsid w:val="00980327"/>
    <w:rsid w:val="00990542"/>
    <w:rsid w:val="009C3A99"/>
    <w:rsid w:val="009F1067"/>
    <w:rsid w:val="00A053C0"/>
    <w:rsid w:val="00A31E01"/>
    <w:rsid w:val="00A35B03"/>
    <w:rsid w:val="00A4511B"/>
    <w:rsid w:val="00A527AD"/>
    <w:rsid w:val="00A718CF"/>
    <w:rsid w:val="00A72E7C"/>
    <w:rsid w:val="00A831E1"/>
    <w:rsid w:val="00A833A2"/>
    <w:rsid w:val="00AA511E"/>
    <w:rsid w:val="00AC0643"/>
    <w:rsid w:val="00AC3B58"/>
    <w:rsid w:val="00AE48A0"/>
    <w:rsid w:val="00AE61BE"/>
    <w:rsid w:val="00AF6EB1"/>
    <w:rsid w:val="00B02E1C"/>
    <w:rsid w:val="00B06085"/>
    <w:rsid w:val="00B16F25"/>
    <w:rsid w:val="00B24422"/>
    <w:rsid w:val="00B250A9"/>
    <w:rsid w:val="00B45F16"/>
    <w:rsid w:val="00B62411"/>
    <w:rsid w:val="00B655E6"/>
    <w:rsid w:val="00B75366"/>
    <w:rsid w:val="00B75B60"/>
    <w:rsid w:val="00B80C20"/>
    <w:rsid w:val="00B844FE"/>
    <w:rsid w:val="00B8571F"/>
    <w:rsid w:val="00B92C78"/>
    <w:rsid w:val="00BB4302"/>
    <w:rsid w:val="00BB592E"/>
    <w:rsid w:val="00BC402D"/>
    <w:rsid w:val="00BC562B"/>
    <w:rsid w:val="00BE0A84"/>
    <w:rsid w:val="00C2579D"/>
    <w:rsid w:val="00C33014"/>
    <w:rsid w:val="00C33434"/>
    <w:rsid w:val="00C34869"/>
    <w:rsid w:val="00C42EB6"/>
    <w:rsid w:val="00C51D46"/>
    <w:rsid w:val="00C554D1"/>
    <w:rsid w:val="00C63632"/>
    <w:rsid w:val="00C85096"/>
    <w:rsid w:val="00CB20EF"/>
    <w:rsid w:val="00CB37C7"/>
    <w:rsid w:val="00CC3B36"/>
    <w:rsid w:val="00CD12CB"/>
    <w:rsid w:val="00CD13CE"/>
    <w:rsid w:val="00CD2739"/>
    <w:rsid w:val="00CD36CF"/>
    <w:rsid w:val="00CD3F81"/>
    <w:rsid w:val="00CF0AE4"/>
    <w:rsid w:val="00CF1DCA"/>
    <w:rsid w:val="00D00FE1"/>
    <w:rsid w:val="00D349BC"/>
    <w:rsid w:val="00D579FC"/>
    <w:rsid w:val="00D71C03"/>
    <w:rsid w:val="00D94247"/>
    <w:rsid w:val="00DB3925"/>
    <w:rsid w:val="00DE526B"/>
    <w:rsid w:val="00DE5A4B"/>
    <w:rsid w:val="00DF199D"/>
    <w:rsid w:val="00DF4120"/>
    <w:rsid w:val="00E01542"/>
    <w:rsid w:val="00E33D78"/>
    <w:rsid w:val="00E365F1"/>
    <w:rsid w:val="00E47014"/>
    <w:rsid w:val="00E62F48"/>
    <w:rsid w:val="00E831B3"/>
    <w:rsid w:val="00E97322"/>
    <w:rsid w:val="00EB203E"/>
    <w:rsid w:val="00EC7C23"/>
    <w:rsid w:val="00EE70CB"/>
    <w:rsid w:val="00EF6030"/>
    <w:rsid w:val="00F04770"/>
    <w:rsid w:val="00F23775"/>
    <w:rsid w:val="00F24DA1"/>
    <w:rsid w:val="00F41CA2"/>
    <w:rsid w:val="00F443C0"/>
    <w:rsid w:val="00F50749"/>
    <w:rsid w:val="00F62EFB"/>
    <w:rsid w:val="00F77CBE"/>
    <w:rsid w:val="00F939A4"/>
    <w:rsid w:val="00F96227"/>
    <w:rsid w:val="00FA7B09"/>
    <w:rsid w:val="00FE067E"/>
    <w:rsid w:val="00FE372A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76F52"/>
  <w15:chartTrackingRefBased/>
  <w15:docId w15:val="{82F8F669-B8F4-4907-9DD0-8ED5A190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783B6E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C7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92C78"/>
  </w:style>
  <w:style w:type="character" w:customStyle="1" w:styleId="SectionBodyChar">
    <w:name w:val="Section Body Char"/>
    <w:link w:val="SectionBody"/>
    <w:rsid w:val="00783B6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3B6E"/>
    <w:rPr>
      <w:rFonts w:eastAsia="Calibri"/>
      <w:b/>
      <w:color w:val="000000"/>
    </w:rPr>
  </w:style>
  <w:style w:type="paragraph" w:styleId="BodyText">
    <w:name w:val="Body Text"/>
    <w:basedOn w:val="Normal"/>
    <w:link w:val="BodyTextChar"/>
    <w:uiPriority w:val="1"/>
    <w:qFormat/>
    <w:locked/>
    <w:rsid w:val="00783B6E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83B6E"/>
    <w:rPr>
      <w:rFonts w:eastAsia="Arial" w:cs="Arial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7AEC4C76EA4F2FBAEF016C6A7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9F4B-C2C4-4167-8632-22A5B92D6144}"/>
      </w:docPartPr>
      <w:docPartBody>
        <w:p w:rsidR="002B7B26" w:rsidRDefault="00232546">
          <w:pPr>
            <w:pStyle w:val="687AEC4C76EA4F2FBAEF016C6A722000"/>
          </w:pPr>
          <w:r w:rsidRPr="00B844FE">
            <w:t>Prefix Text</w:t>
          </w:r>
        </w:p>
      </w:docPartBody>
    </w:docPart>
    <w:docPart>
      <w:docPartPr>
        <w:name w:val="8CBD3146B157444F92850E181956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7327-6127-463C-8104-810E8919D4BA}"/>
      </w:docPartPr>
      <w:docPartBody>
        <w:p w:rsidR="002B7B26" w:rsidRDefault="00232546">
          <w:pPr>
            <w:pStyle w:val="8CBD3146B157444F92850E181956C800"/>
          </w:pPr>
          <w:r w:rsidRPr="00B844FE">
            <w:t>[Type here]</w:t>
          </w:r>
        </w:p>
      </w:docPartBody>
    </w:docPart>
    <w:docPart>
      <w:docPartPr>
        <w:name w:val="22F34A0B15514014B78E23DD2A480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AF00-B623-4084-ABE0-B6FB26706CF1}"/>
      </w:docPartPr>
      <w:docPartBody>
        <w:p w:rsidR="002B7B26" w:rsidRDefault="00232546">
          <w:pPr>
            <w:pStyle w:val="22F34A0B15514014B78E23DD2A480BE4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43AB-3FE5-4460-9A53-DF4A881EC50B}"/>
      </w:docPartPr>
      <w:docPartBody>
        <w:p w:rsidR="00914833" w:rsidRDefault="00914833">
          <w:r w:rsidRPr="001E2F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C7"/>
    <w:rsid w:val="0016491D"/>
    <w:rsid w:val="00232546"/>
    <w:rsid w:val="002B7B26"/>
    <w:rsid w:val="00300F39"/>
    <w:rsid w:val="00542BA0"/>
    <w:rsid w:val="005638DC"/>
    <w:rsid w:val="006070BD"/>
    <w:rsid w:val="00663CF4"/>
    <w:rsid w:val="00775665"/>
    <w:rsid w:val="00914833"/>
    <w:rsid w:val="00B250A9"/>
    <w:rsid w:val="00C63632"/>
    <w:rsid w:val="00CC3B36"/>
    <w:rsid w:val="00CF699E"/>
    <w:rsid w:val="00D15DC7"/>
    <w:rsid w:val="00E33D78"/>
    <w:rsid w:val="00F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7AEC4C76EA4F2FBAEF016C6A722000">
    <w:name w:val="687AEC4C76EA4F2FBAEF016C6A722000"/>
  </w:style>
  <w:style w:type="paragraph" w:customStyle="1" w:styleId="8CBD3146B157444F92850E181956C800">
    <w:name w:val="8CBD3146B157444F92850E181956C800"/>
  </w:style>
  <w:style w:type="paragraph" w:customStyle="1" w:styleId="22F34A0B15514014B78E23DD2A480BE4">
    <w:name w:val="22F34A0B15514014B78E23DD2A480BE4"/>
  </w:style>
  <w:style w:type="character" w:styleId="PlaceholderText">
    <w:name w:val="Placeholder Text"/>
    <w:basedOn w:val="DefaultParagraphFont"/>
    <w:uiPriority w:val="99"/>
    <w:semiHidden/>
    <w:rsid w:val="009148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Osgood</dc:creator>
  <cp:keywords/>
  <dc:description/>
  <cp:lastModifiedBy>Sam Rowe</cp:lastModifiedBy>
  <cp:revision>2</cp:revision>
  <cp:lastPrinted>2025-02-13T15:15:00Z</cp:lastPrinted>
  <dcterms:created xsi:type="dcterms:W3CDTF">2025-02-19T20:55:00Z</dcterms:created>
  <dcterms:modified xsi:type="dcterms:W3CDTF">2025-02-19T20:55:00Z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98f3d7cae1a4aaf770e09289f6269472b35eab204329ce3549dbfd594069c058</vt:lpwstr>
  </property>
</Properties>
</file>