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D3D3" w14:textId="77777777" w:rsidR="00FE067E" w:rsidRPr="00DB5068" w:rsidRDefault="00CD36CF" w:rsidP="0060106F">
      <w:pPr>
        <w:pStyle w:val="TitlePageOrigin"/>
      </w:pPr>
      <w:r w:rsidRPr="00DB5068">
        <w:t>WEST virginia legislature</w:t>
      </w:r>
    </w:p>
    <w:p w14:paraId="1C4E43FC" w14:textId="4D769355" w:rsidR="00CD36CF" w:rsidRPr="00DB5068" w:rsidRDefault="00CD36CF" w:rsidP="0060106F">
      <w:pPr>
        <w:pStyle w:val="TitlePageSession"/>
      </w:pPr>
      <w:r w:rsidRPr="00DB5068">
        <w:t>20</w:t>
      </w:r>
      <w:r w:rsidR="00A02BCE" w:rsidRPr="00DB5068">
        <w:t>2</w:t>
      </w:r>
      <w:r w:rsidR="00E942D3">
        <w:t>5</w:t>
      </w:r>
      <w:r w:rsidRPr="00DB5068">
        <w:t xml:space="preserve"> regular session</w:t>
      </w:r>
    </w:p>
    <w:p w14:paraId="0192D778" w14:textId="09339137" w:rsidR="00CD36CF" w:rsidRPr="00DB5068" w:rsidRDefault="00540184" w:rsidP="0060106F">
      <w:pPr>
        <w:pStyle w:val="TitlePageBillPrefix"/>
      </w:pPr>
      <w:sdt>
        <w:sdtPr>
          <w:tag w:val="IntroDate"/>
          <w:id w:val="-1236936958"/>
          <w:placeholder>
            <w:docPart w:val="745802AA37A34266A78FDDC8938327E7"/>
          </w:placeholder>
          <w:text/>
        </w:sdtPr>
        <w:sdtEndPr/>
        <w:sdtContent>
          <w:r w:rsidR="00E942D3">
            <w:t>Introduced</w:t>
          </w:r>
        </w:sdtContent>
      </w:sdt>
    </w:p>
    <w:p w14:paraId="7960BD8E" w14:textId="76FDE3DC" w:rsidR="00CD36CF" w:rsidRPr="00DB5068" w:rsidRDefault="00540184" w:rsidP="0060106F">
      <w:pPr>
        <w:pStyle w:val="BillNumber"/>
      </w:pPr>
      <w:sdt>
        <w:sdtPr>
          <w:tag w:val="Chamber"/>
          <w:id w:val="893011969"/>
          <w:lock w:val="sdtLocked"/>
          <w:placeholder>
            <w:docPart w:val="FE9770946E9C443DAF9936E3B4B48595"/>
          </w:placeholder>
          <w:dropDownList>
            <w:listItem w:displayText="House" w:value="House"/>
            <w:listItem w:displayText="Senate" w:value="Senate"/>
          </w:dropDownList>
        </w:sdtPr>
        <w:sdtEndPr/>
        <w:sdtContent>
          <w:r w:rsidR="00C33434" w:rsidRPr="00DB5068">
            <w:t>House</w:t>
          </w:r>
        </w:sdtContent>
      </w:sdt>
      <w:r w:rsidR="00303684" w:rsidRPr="00DB5068">
        <w:t xml:space="preserve"> </w:t>
      </w:r>
      <w:r w:rsidR="00E379D8" w:rsidRPr="00DB5068">
        <w:t>Bill</w:t>
      </w:r>
      <w:r w:rsidR="00727C3D" w:rsidRPr="00DB5068">
        <w:t xml:space="preserve"> </w:t>
      </w:r>
      <w:sdt>
        <w:sdtPr>
          <w:tag w:val="BNum"/>
          <w:id w:val="-544526420"/>
          <w:lock w:val="sdtLocked"/>
          <w:placeholder>
            <w:docPart w:val="0A838BCB3C54475C8B0594CF976C50D5"/>
          </w:placeholder>
          <w:text/>
        </w:sdtPr>
        <w:sdtEndPr/>
        <w:sdtContent>
          <w:r>
            <w:t>3045</w:t>
          </w:r>
        </w:sdtContent>
      </w:sdt>
    </w:p>
    <w:p w14:paraId="0F54DBD0" w14:textId="0ADBE6A7" w:rsidR="00CD36CF" w:rsidRPr="00DB5068" w:rsidRDefault="00CD36CF" w:rsidP="0060106F">
      <w:pPr>
        <w:pStyle w:val="Sponsors"/>
      </w:pPr>
      <w:r w:rsidRPr="00DB5068">
        <w:t xml:space="preserve">By </w:t>
      </w:r>
      <w:sdt>
        <w:sdtPr>
          <w:tag w:val="Sponsors"/>
          <w:id w:val="1589585889"/>
          <w:placeholder>
            <w:docPart w:val="7FDC6165945440BFBA54123DDDD52714"/>
          </w:placeholder>
          <w:text w:multiLine="1"/>
        </w:sdtPr>
        <w:sdtEndPr/>
        <w:sdtContent>
          <w:r w:rsidR="00EA1EA8" w:rsidRPr="00DB5068">
            <w:t>Delegat</w:t>
          </w:r>
          <w:r w:rsidR="005328B7">
            <w:t>e</w:t>
          </w:r>
          <w:r w:rsidR="00FA77B7">
            <w:t>s</w:t>
          </w:r>
          <w:r w:rsidR="005328B7">
            <w:t xml:space="preserve"> </w:t>
          </w:r>
          <w:r w:rsidR="006D54C3">
            <w:t>Ward</w:t>
          </w:r>
          <w:r w:rsidR="00FA77B7">
            <w:t xml:space="preserve">, Jennings, Hillenbrand, Crouse, Phillips, Street, Zatezalo, Brooks, DeVault, Ridenour, and Coop-Gonzalez </w:t>
          </w:r>
        </w:sdtContent>
      </w:sdt>
    </w:p>
    <w:sdt>
      <w:sdtPr>
        <w:alias w:val="References"/>
        <w:tag w:val="References"/>
        <w:id w:val="1634976132"/>
        <w:placeholder>
          <w:docPart w:val="DefaultPlaceholder_-1854013440"/>
        </w:placeholder>
      </w:sdtPr>
      <w:sdtEndPr/>
      <w:sdtContent>
        <w:p w14:paraId="54AC66BD" w14:textId="051357F3" w:rsidR="009E1BA9" w:rsidRDefault="00540184" w:rsidP="0060106F">
          <w:pPr>
            <w:pStyle w:val="References"/>
            <w:sectPr w:rsidR="009E1BA9" w:rsidSect="009E1BA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Introduced February 28, 2025; referred to the Committee on Energy and Public Works then Finance</w:t>
          </w:r>
        </w:p>
      </w:sdtContent>
    </w:sdt>
    <w:p w14:paraId="12BA780C" w14:textId="0882DDC1" w:rsidR="00303684" w:rsidRPr="00DB5068" w:rsidRDefault="0000526A" w:rsidP="009E1BA9">
      <w:pPr>
        <w:pStyle w:val="TitleSection"/>
      </w:pPr>
      <w:r w:rsidRPr="00DB5068">
        <w:lastRenderedPageBreak/>
        <w:t>A BILL</w:t>
      </w:r>
      <w:r w:rsidR="00EA1EA8" w:rsidRPr="00DB5068">
        <w:t xml:space="preserve"> to amend the Code of West Virginia, 1931, as amended, by adding thereto a new article, designated</w:t>
      </w:r>
      <w:r w:rsidR="00036EBA">
        <w:t xml:space="preserve"> </w:t>
      </w:r>
      <w:r w:rsidR="00036EBA" w:rsidRPr="00036EBA">
        <w:t>§</w:t>
      </w:r>
      <w:r w:rsidR="006D54C3">
        <w:t>19-40-1,</w:t>
      </w:r>
      <w:r w:rsidR="00592D4F">
        <w:t xml:space="preserve"> </w:t>
      </w:r>
      <w:r w:rsidR="00592D4F" w:rsidRPr="00036EBA">
        <w:t>§</w:t>
      </w:r>
      <w:r w:rsidR="00592D4F">
        <w:t xml:space="preserve">19-40-2, </w:t>
      </w:r>
      <w:r w:rsidR="00592D4F" w:rsidRPr="00036EBA">
        <w:t>§</w:t>
      </w:r>
      <w:r w:rsidR="00592D4F">
        <w:t xml:space="preserve">19-40-3, and </w:t>
      </w:r>
      <w:r w:rsidR="00592D4F" w:rsidRPr="00036EBA">
        <w:t>§</w:t>
      </w:r>
      <w:r w:rsidR="00592D4F">
        <w:t>19-40-4,</w:t>
      </w:r>
      <w:r w:rsidR="006D54C3">
        <w:t xml:space="preserve"> relating to creating the Farmer Protection Act and providing for its administration</w:t>
      </w:r>
      <w:r w:rsidR="00EA1EA8" w:rsidRPr="00DB5068">
        <w:t>.</w:t>
      </w:r>
    </w:p>
    <w:p w14:paraId="169C23D4" w14:textId="77777777" w:rsidR="00303684" w:rsidRPr="00DB5068" w:rsidRDefault="00303684" w:rsidP="009E1BA9">
      <w:pPr>
        <w:pStyle w:val="EnactingClause"/>
        <w:sectPr w:rsidR="00303684" w:rsidRPr="00DB5068" w:rsidSect="009B03A2">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r w:rsidRPr="00DB5068">
        <w:t>Be it enacted by the Legislature of West Virginia:</w:t>
      </w:r>
    </w:p>
    <w:p w14:paraId="2503690C" w14:textId="49AB9ADA" w:rsidR="006865E9" w:rsidRDefault="006D54C3" w:rsidP="006D54C3">
      <w:pPr>
        <w:pStyle w:val="ArticleHeading"/>
        <w:rPr>
          <w:u w:val="single"/>
        </w:rPr>
      </w:pPr>
      <w:r>
        <w:rPr>
          <w:u w:val="single"/>
        </w:rPr>
        <w:t>Article 40. the Farmer Protection Act</w:t>
      </w:r>
      <w:r w:rsidR="00036EBA" w:rsidRPr="006D54C3">
        <w:rPr>
          <w:u w:val="single"/>
        </w:rPr>
        <w:t>.</w:t>
      </w:r>
    </w:p>
    <w:p w14:paraId="14DDA18C" w14:textId="7F50EAD4" w:rsidR="006D54C3" w:rsidRDefault="006D54C3" w:rsidP="006D54C3">
      <w:pPr>
        <w:pStyle w:val="SectionHeading"/>
        <w:rPr>
          <w:u w:val="single"/>
        </w:rPr>
      </w:pPr>
      <w:r w:rsidRPr="006D54C3">
        <w:rPr>
          <w:u w:val="single"/>
        </w:rPr>
        <w:t>§19-40-1. Legislative Findings</w:t>
      </w:r>
      <w:r>
        <w:rPr>
          <w:u w:val="single"/>
        </w:rPr>
        <w:t>.</w:t>
      </w:r>
    </w:p>
    <w:p w14:paraId="2FB762C8" w14:textId="3380C902" w:rsidR="006D54C3" w:rsidRPr="00592D4F" w:rsidRDefault="006D54C3" w:rsidP="00592D4F">
      <w:pPr>
        <w:pStyle w:val="SectionBody"/>
        <w:rPr>
          <w:u w:val="single"/>
        </w:rPr>
      </w:pPr>
      <w:r w:rsidRPr="00592D4F">
        <w:rPr>
          <w:u w:val="single"/>
        </w:rPr>
        <w:t>The Legislature of West Virginia finds that:</w:t>
      </w:r>
    </w:p>
    <w:p w14:paraId="2B827C94" w14:textId="261576EB" w:rsidR="006D54C3" w:rsidRPr="00592D4F" w:rsidRDefault="006D54C3" w:rsidP="00592D4F">
      <w:pPr>
        <w:pStyle w:val="SectionBody"/>
        <w:rPr>
          <w:u w:val="single"/>
        </w:rPr>
      </w:pPr>
      <w:r w:rsidRPr="00592D4F">
        <w:rPr>
          <w:u w:val="single"/>
        </w:rPr>
        <w:t>(</w:t>
      </w:r>
      <w:r w:rsidR="0083565F">
        <w:rPr>
          <w:u w:val="single"/>
        </w:rPr>
        <w:t>1</w:t>
      </w:r>
      <w:r w:rsidRPr="00592D4F">
        <w:rPr>
          <w:u w:val="single"/>
        </w:rPr>
        <w:t>) In the past two decades, farmers worldwide have fed an ever-growing global population by increasing their crop yields by more than 50%, while simultaneously helping reduce agriculture’s share of global emissions.</w:t>
      </w:r>
    </w:p>
    <w:p w14:paraId="702A0A7A" w14:textId="5B307E37" w:rsidR="006D54C3" w:rsidRPr="00592D4F" w:rsidRDefault="006D54C3" w:rsidP="00592D4F">
      <w:pPr>
        <w:pStyle w:val="SectionBody"/>
        <w:rPr>
          <w:u w:val="single"/>
        </w:rPr>
      </w:pPr>
      <w:r w:rsidRPr="00592D4F">
        <w:rPr>
          <w:u w:val="single"/>
        </w:rPr>
        <w:t>(</w:t>
      </w:r>
      <w:r w:rsidR="0083565F">
        <w:rPr>
          <w:u w:val="single"/>
        </w:rPr>
        <w:t>2</w:t>
      </w:r>
      <w:r w:rsidRPr="00592D4F">
        <w:rPr>
          <w:u w:val="single"/>
        </w:rPr>
        <w:t>) The number of U.S. farms continues to decline, and small-scale farm operators, which comprise 89% of U.S. farmers, now typically rely on off-farm employment for most of their income.</w:t>
      </w:r>
    </w:p>
    <w:p w14:paraId="27AB924C" w14:textId="104A00D9" w:rsidR="006D54C3" w:rsidRPr="00592D4F" w:rsidRDefault="006D54C3" w:rsidP="00592D4F">
      <w:pPr>
        <w:pStyle w:val="SectionBody"/>
        <w:rPr>
          <w:u w:val="single"/>
        </w:rPr>
      </w:pPr>
      <w:r w:rsidRPr="00592D4F">
        <w:rPr>
          <w:u w:val="single"/>
        </w:rPr>
        <w:t>(</w:t>
      </w:r>
      <w:r w:rsidR="0083565F">
        <w:rPr>
          <w:u w:val="single"/>
        </w:rPr>
        <w:t>3</w:t>
      </w:r>
      <w:r w:rsidRPr="00592D4F">
        <w:rPr>
          <w:u w:val="single"/>
        </w:rPr>
        <w:t xml:space="preserve">) Activists have made clear that agriculture emissions targets for food-and-beverage companies </w:t>
      </w:r>
      <w:r w:rsidR="003202A3">
        <w:rPr>
          <w:u w:val="single"/>
        </w:rPr>
        <w:t>"</w:t>
      </w:r>
      <w:r w:rsidRPr="00592D4F">
        <w:rPr>
          <w:u w:val="single"/>
        </w:rPr>
        <w:t>must cover scope 3 emissions</w:t>
      </w:r>
      <w:r w:rsidR="003202A3">
        <w:rPr>
          <w:u w:val="single"/>
        </w:rPr>
        <w:t>"</w:t>
      </w:r>
      <w:r w:rsidR="00946FBF">
        <w:rPr>
          <w:u w:val="single"/>
        </w:rPr>
        <w:t>,</w:t>
      </w:r>
      <w:r w:rsidRPr="00592D4F">
        <w:rPr>
          <w:u w:val="single"/>
        </w:rPr>
        <w:t xml:space="preserve"> which are emissions from suppliers, or in other words, farmers. Food-and-beverage companies that set these targets must then force farmers to measure, report, and reduce their emissions, which may put small, struggling farmers out of business for good.</w:t>
      </w:r>
    </w:p>
    <w:p w14:paraId="6D60168F" w14:textId="674CB0B3" w:rsidR="006D54C3" w:rsidRPr="00592D4F" w:rsidRDefault="006D54C3" w:rsidP="00592D4F">
      <w:pPr>
        <w:pStyle w:val="SectionBody"/>
        <w:rPr>
          <w:u w:val="single"/>
        </w:rPr>
      </w:pPr>
      <w:r w:rsidRPr="00592D4F">
        <w:rPr>
          <w:u w:val="single"/>
        </w:rPr>
        <w:t>(</w:t>
      </w:r>
      <w:r w:rsidR="0083565F">
        <w:rPr>
          <w:u w:val="single"/>
        </w:rPr>
        <w:t>4</w:t>
      </w:r>
      <w:r w:rsidRPr="00592D4F">
        <w:rPr>
          <w:u w:val="single"/>
        </w:rPr>
        <w:t>) ESG activists have announced that the food-and-beverage industry must reduce its land-based emissions by 85%, while admitting that farmers will have to increase food yields by 56% from 2010 levels in order to feed nearly 10 billion people in 2050.</w:t>
      </w:r>
    </w:p>
    <w:p w14:paraId="1EE0EC36" w14:textId="60248B20" w:rsidR="006D54C3" w:rsidRPr="00592D4F" w:rsidRDefault="006D54C3" w:rsidP="00592D4F">
      <w:pPr>
        <w:pStyle w:val="SectionBody"/>
        <w:rPr>
          <w:u w:val="single"/>
        </w:rPr>
      </w:pPr>
      <w:r w:rsidRPr="00592D4F">
        <w:rPr>
          <w:u w:val="single"/>
        </w:rPr>
        <w:t>(</w:t>
      </w:r>
      <w:r w:rsidR="0083565F">
        <w:rPr>
          <w:u w:val="single"/>
        </w:rPr>
        <w:t>5</w:t>
      </w:r>
      <w:r w:rsidRPr="00592D4F">
        <w:rPr>
          <w:u w:val="single"/>
        </w:rPr>
        <w:t xml:space="preserve">) ESG activists acknowledge that food security may be a </w:t>
      </w:r>
      <w:r w:rsidR="003202A3">
        <w:rPr>
          <w:u w:val="single"/>
        </w:rPr>
        <w:t>"</w:t>
      </w:r>
      <w:r w:rsidRPr="00592D4F">
        <w:rPr>
          <w:u w:val="single"/>
        </w:rPr>
        <w:t>tradeoff</w:t>
      </w:r>
      <w:r w:rsidR="003202A3">
        <w:rPr>
          <w:u w:val="single"/>
        </w:rPr>
        <w:t>"</w:t>
      </w:r>
      <w:r w:rsidRPr="00592D4F">
        <w:rPr>
          <w:u w:val="single"/>
        </w:rPr>
        <w:t xml:space="preserve"> for emissions mitigation. Decreases in food production and corresponding increases in food prices invariably have the biggest impact on the poorest people.</w:t>
      </w:r>
    </w:p>
    <w:p w14:paraId="3ABA6BA1" w14:textId="558CBBFD" w:rsidR="006D54C3" w:rsidRPr="00592D4F" w:rsidRDefault="0083565F" w:rsidP="00592D4F">
      <w:pPr>
        <w:pStyle w:val="SectionBody"/>
        <w:rPr>
          <w:u w:val="single"/>
        </w:rPr>
      </w:pPr>
      <w:r>
        <w:rPr>
          <w:u w:val="single"/>
        </w:rPr>
        <w:t>(6</w:t>
      </w:r>
      <w:r w:rsidR="006D54C3" w:rsidRPr="00592D4F">
        <w:rPr>
          <w:u w:val="single"/>
        </w:rPr>
        <w:t xml:space="preserve">) ESG activists have declared that the United States must cut its beef consumption in half and that </w:t>
      </w:r>
      <w:r w:rsidR="003202A3">
        <w:rPr>
          <w:u w:val="single"/>
        </w:rPr>
        <w:t>"</w:t>
      </w:r>
      <w:r w:rsidR="006D54C3" w:rsidRPr="00592D4F">
        <w:rPr>
          <w:u w:val="single"/>
        </w:rPr>
        <w:t>global per capita meat consumption must be reduced to around 1.5 burgers per person per week by 2050 to align with a 1.5°C scenario</w:t>
      </w:r>
      <w:r w:rsidR="003202A3">
        <w:rPr>
          <w:u w:val="single"/>
        </w:rPr>
        <w:t>"</w:t>
      </w:r>
      <w:r w:rsidR="0026632F">
        <w:rPr>
          <w:u w:val="single"/>
        </w:rPr>
        <w:t>.</w:t>
      </w:r>
      <w:r w:rsidR="006D54C3" w:rsidRPr="00592D4F">
        <w:rPr>
          <w:u w:val="single"/>
        </w:rPr>
        <w:t xml:space="preserve"> This could lead to the loss of 19 million </w:t>
      </w:r>
      <w:r w:rsidR="006D54C3" w:rsidRPr="00592D4F">
        <w:rPr>
          <w:u w:val="single"/>
        </w:rPr>
        <w:lastRenderedPageBreak/>
        <w:t>livestock jobs worldwide, including many in the United States, which is the top producer of beef and the largest exporter of agricultural goods globally.</w:t>
      </w:r>
    </w:p>
    <w:p w14:paraId="3DE8B750" w14:textId="4671AE01" w:rsidR="006D54C3" w:rsidRPr="00592D4F" w:rsidRDefault="006D54C3" w:rsidP="00592D4F">
      <w:pPr>
        <w:pStyle w:val="SectionBody"/>
        <w:rPr>
          <w:u w:val="single"/>
        </w:rPr>
      </w:pPr>
      <w:r w:rsidRPr="00592D4F">
        <w:rPr>
          <w:u w:val="single"/>
        </w:rPr>
        <w:t>(</w:t>
      </w:r>
      <w:r w:rsidR="0083565F">
        <w:rPr>
          <w:u w:val="single"/>
        </w:rPr>
        <w:t>7</w:t>
      </w:r>
      <w:r w:rsidRPr="00592D4F">
        <w:rPr>
          <w:u w:val="single"/>
        </w:rPr>
        <w:t xml:space="preserve">) Three billion people are alive today because of nitrogen fertilizer, yet ESG activists want to reduce its use. Their proposed </w:t>
      </w:r>
      <w:r w:rsidR="003202A3">
        <w:rPr>
          <w:u w:val="single"/>
        </w:rPr>
        <w:t>"</w:t>
      </w:r>
      <w:r w:rsidRPr="00592D4F">
        <w:rPr>
          <w:u w:val="single"/>
        </w:rPr>
        <w:t>green fertilizer</w:t>
      </w:r>
      <w:r w:rsidR="003202A3">
        <w:rPr>
          <w:u w:val="single"/>
        </w:rPr>
        <w:t>"</w:t>
      </w:r>
      <w:r w:rsidRPr="00592D4F">
        <w:rPr>
          <w:u w:val="single"/>
        </w:rPr>
        <w:t xml:space="preserve"> will be more expensive, leading to millions of people going hungry or dying worldwide. Already, the United Nations Environmental Programme</w:t>
      </w:r>
      <w:r w:rsidR="0026632F">
        <w:rPr>
          <w:u w:val="single"/>
        </w:rPr>
        <w:t>'</w:t>
      </w:r>
      <w:r w:rsidRPr="00592D4F">
        <w:rPr>
          <w:u w:val="single"/>
        </w:rPr>
        <w:t>s (UNEP) demands for reduced use of nitrogen fertilizer helped push Sri Lanka to stop using chemical fertilizer, leading to a devastating crop yield decrease, skyrocketing food prices, and an economic and humanitarian disaster. UNEP has informed banks that it will review their emissions reduction targets for agriculture.</w:t>
      </w:r>
    </w:p>
    <w:p w14:paraId="6AD9DA9E" w14:textId="7AE304D7" w:rsidR="006D54C3" w:rsidRPr="00592D4F" w:rsidRDefault="006D54C3" w:rsidP="00592D4F">
      <w:pPr>
        <w:pStyle w:val="SectionBody"/>
        <w:rPr>
          <w:u w:val="single"/>
        </w:rPr>
      </w:pPr>
      <w:r w:rsidRPr="00592D4F">
        <w:rPr>
          <w:u w:val="single"/>
        </w:rPr>
        <w:t>(</w:t>
      </w:r>
      <w:r w:rsidR="0083565F">
        <w:rPr>
          <w:u w:val="single"/>
        </w:rPr>
        <w:t>8</w:t>
      </w:r>
      <w:r w:rsidRPr="00592D4F">
        <w:rPr>
          <w:u w:val="single"/>
        </w:rPr>
        <w:t>) America’s six biggest banks joined the Net-Zero Banking Alliance in 2021, which means they all must set UN-approved agriculture targets for their portfolios by 2024 at the latest. Net-Zero Banking Alliance members control more than 40% of global banking assets.</w:t>
      </w:r>
    </w:p>
    <w:p w14:paraId="4C9DF79A" w14:textId="0D1A1863" w:rsidR="006D54C3" w:rsidRPr="00592D4F" w:rsidRDefault="006D54C3" w:rsidP="00592D4F">
      <w:pPr>
        <w:pStyle w:val="SectionBody"/>
        <w:rPr>
          <w:u w:val="single"/>
        </w:rPr>
      </w:pPr>
      <w:r w:rsidRPr="00592D4F">
        <w:rPr>
          <w:u w:val="single"/>
        </w:rPr>
        <w:t>(</w:t>
      </w:r>
      <w:r w:rsidR="0083565F">
        <w:rPr>
          <w:u w:val="single"/>
        </w:rPr>
        <w:t>9</w:t>
      </w:r>
      <w:r w:rsidRPr="00592D4F">
        <w:rPr>
          <w:u w:val="single"/>
        </w:rPr>
        <w:t xml:space="preserve">) ESG activists demand </w:t>
      </w:r>
      <w:r w:rsidR="003202A3">
        <w:rPr>
          <w:u w:val="single"/>
        </w:rPr>
        <w:t>"</w:t>
      </w:r>
      <w:r w:rsidRPr="00592D4F">
        <w:rPr>
          <w:u w:val="single"/>
        </w:rPr>
        <w:t>zero emissions on-farm machinery</w:t>
      </w:r>
      <w:r w:rsidR="00C47028">
        <w:rPr>
          <w:u w:val="single"/>
        </w:rPr>
        <w:t>" but</w:t>
      </w:r>
      <w:r w:rsidRPr="00592D4F">
        <w:rPr>
          <w:u w:val="single"/>
        </w:rPr>
        <w:t xml:space="preserve"> ignore that electric heavy farm machinery would be far larger than diesel counterparts, would require extensive charging infrastructure on farms to meet harvesting demands, may struggle in cold weather, and simply </w:t>
      </w:r>
      <w:r w:rsidR="003202A3">
        <w:rPr>
          <w:u w:val="single"/>
        </w:rPr>
        <w:t>"</w:t>
      </w:r>
      <w:r w:rsidRPr="00592D4F">
        <w:rPr>
          <w:u w:val="single"/>
        </w:rPr>
        <w:t>isn’t feasible</w:t>
      </w:r>
      <w:r w:rsidR="003202A3">
        <w:rPr>
          <w:u w:val="single"/>
        </w:rPr>
        <w:t>"</w:t>
      </w:r>
      <w:r w:rsidR="00946FBF">
        <w:rPr>
          <w:u w:val="single"/>
        </w:rPr>
        <w:t>.</w:t>
      </w:r>
    </w:p>
    <w:p w14:paraId="531146CA" w14:textId="2F7706BB" w:rsidR="006D54C3" w:rsidRPr="00592D4F" w:rsidRDefault="006D54C3" w:rsidP="00592D4F">
      <w:pPr>
        <w:pStyle w:val="SectionBody"/>
        <w:rPr>
          <w:u w:val="single"/>
        </w:rPr>
      </w:pPr>
      <w:r w:rsidRPr="00592D4F">
        <w:rPr>
          <w:u w:val="single"/>
        </w:rPr>
        <w:t>(</w:t>
      </w:r>
      <w:r w:rsidR="0083565F">
        <w:rPr>
          <w:u w:val="single"/>
        </w:rPr>
        <w:t>10</w:t>
      </w:r>
      <w:r w:rsidRPr="00592D4F">
        <w:rPr>
          <w:u w:val="single"/>
        </w:rPr>
        <w:t xml:space="preserve">) Farmers in </w:t>
      </w:r>
      <w:r w:rsidR="003202A3">
        <w:rPr>
          <w:u w:val="single"/>
        </w:rPr>
        <w:t>West Virginia</w:t>
      </w:r>
      <w:r w:rsidRPr="00592D4F">
        <w:rPr>
          <w:u w:val="single"/>
        </w:rPr>
        <w:t xml:space="preserve"> depend on the availability of financing, and consumers depend on farmers for food. Reducing financing, restricting fertilizer usage, or forcing farmers to purchase electric farm machinery may put farmers out of business and raise food prices for consumers; and</w:t>
      </w:r>
    </w:p>
    <w:p w14:paraId="6700769C" w14:textId="1E030985" w:rsidR="006D54C3" w:rsidRPr="00592D4F" w:rsidRDefault="006D54C3" w:rsidP="00592D4F">
      <w:pPr>
        <w:pStyle w:val="SectionBody"/>
        <w:rPr>
          <w:u w:val="single"/>
        </w:rPr>
      </w:pPr>
      <w:r w:rsidRPr="00592D4F">
        <w:rPr>
          <w:u w:val="single"/>
        </w:rPr>
        <w:t>(</w:t>
      </w:r>
      <w:r w:rsidR="0083565F">
        <w:rPr>
          <w:u w:val="single"/>
        </w:rPr>
        <w:t>11</w:t>
      </w:r>
      <w:r w:rsidRPr="00592D4F">
        <w:rPr>
          <w:u w:val="single"/>
        </w:rPr>
        <w:t>) State governments should take steps to ensure that finance companies do not unfairly discriminate against agriculture producers.</w:t>
      </w:r>
    </w:p>
    <w:p w14:paraId="5FA76830" w14:textId="747AB5C6" w:rsidR="006D54C3" w:rsidRPr="00592D4F" w:rsidRDefault="006D54C3" w:rsidP="00592D4F">
      <w:pPr>
        <w:pStyle w:val="SectionHeading"/>
        <w:rPr>
          <w:u w:val="single"/>
        </w:rPr>
      </w:pPr>
      <w:r w:rsidRPr="00592D4F">
        <w:rPr>
          <w:u w:val="single"/>
        </w:rPr>
        <w:t>§19-40-2. Definitions.</w:t>
      </w:r>
    </w:p>
    <w:p w14:paraId="5FCBAAC6" w14:textId="77777777" w:rsidR="006D54C3" w:rsidRDefault="006D54C3" w:rsidP="006D54C3">
      <w:pPr>
        <w:pStyle w:val="SectionBody"/>
        <w:sectPr w:rsidR="006D54C3" w:rsidSect="009E1BA9">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60954CD8" w14:textId="60179509" w:rsidR="006D54C3" w:rsidRPr="00592D4F" w:rsidRDefault="006D54C3" w:rsidP="00592D4F">
      <w:pPr>
        <w:pStyle w:val="SectionBody"/>
        <w:rPr>
          <w:u w:val="single"/>
        </w:rPr>
      </w:pPr>
      <w:r w:rsidRPr="00592D4F">
        <w:rPr>
          <w:u w:val="single"/>
        </w:rPr>
        <w:t xml:space="preserve">(a) </w:t>
      </w:r>
      <w:r w:rsidR="003202A3">
        <w:rPr>
          <w:u w:val="single"/>
        </w:rPr>
        <w:t>"</w:t>
      </w:r>
      <w:r w:rsidRPr="00592D4F">
        <w:rPr>
          <w:u w:val="single"/>
        </w:rPr>
        <w:t>Agriculture producer</w:t>
      </w:r>
      <w:r w:rsidR="003202A3">
        <w:rPr>
          <w:u w:val="single"/>
        </w:rPr>
        <w:t>"</w:t>
      </w:r>
      <w:r w:rsidRPr="00592D4F">
        <w:rPr>
          <w:u w:val="single"/>
        </w:rPr>
        <w:t xml:space="preserve"> means a natural person or company engaged in the production of goods derived from plants or animals including, but not limited to, the growing of crops, animal husbandry, or the production of livestock or dairy products.</w:t>
      </w:r>
    </w:p>
    <w:p w14:paraId="1915EB67" w14:textId="6229A583" w:rsidR="006D54C3" w:rsidRPr="00592D4F" w:rsidRDefault="006D54C3" w:rsidP="00592D4F">
      <w:pPr>
        <w:pStyle w:val="SectionBody"/>
        <w:rPr>
          <w:u w:val="single"/>
        </w:rPr>
      </w:pPr>
      <w:r w:rsidRPr="00592D4F">
        <w:rPr>
          <w:u w:val="single"/>
        </w:rPr>
        <w:t xml:space="preserve">(b) </w:t>
      </w:r>
      <w:r w:rsidR="003202A3">
        <w:rPr>
          <w:u w:val="single"/>
        </w:rPr>
        <w:t>"</w:t>
      </w:r>
      <w:r w:rsidRPr="00592D4F">
        <w:rPr>
          <w:u w:val="single"/>
        </w:rPr>
        <w:t>Company</w:t>
      </w:r>
      <w:r w:rsidR="003202A3">
        <w:rPr>
          <w:u w:val="single"/>
        </w:rPr>
        <w:t>"</w:t>
      </w:r>
      <w:r w:rsidRPr="00592D4F">
        <w:rPr>
          <w:u w:val="single"/>
        </w:rPr>
        <w:t xml:space="preserve"> means a for-profit organization, association, corporation, partnership, joint venture, sole proprietorship, limited partnership, limited liability partnership, or limited liability company, including a wholly owned subsidiary, majority-owned subsidiary, parent company, or affiliate of those entities or business associations.</w:t>
      </w:r>
    </w:p>
    <w:p w14:paraId="632DE536" w14:textId="1036F834" w:rsidR="006D54C3" w:rsidRPr="00592D4F" w:rsidRDefault="006D54C3" w:rsidP="00592D4F">
      <w:pPr>
        <w:pStyle w:val="SectionBody"/>
        <w:rPr>
          <w:u w:val="single"/>
        </w:rPr>
      </w:pPr>
      <w:r w:rsidRPr="00592D4F">
        <w:rPr>
          <w:u w:val="single"/>
        </w:rPr>
        <w:t xml:space="preserve">(c) </w:t>
      </w:r>
      <w:r w:rsidR="003202A3">
        <w:rPr>
          <w:u w:val="single"/>
        </w:rPr>
        <w:t>"</w:t>
      </w:r>
      <w:r w:rsidRPr="00592D4F">
        <w:rPr>
          <w:u w:val="single"/>
        </w:rPr>
        <w:t>Denies or restricts</w:t>
      </w:r>
      <w:r w:rsidR="003202A3">
        <w:rPr>
          <w:u w:val="single"/>
        </w:rPr>
        <w:t>"</w:t>
      </w:r>
      <w:r w:rsidRPr="00592D4F">
        <w:rPr>
          <w:u w:val="single"/>
        </w:rPr>
        <w:t xml:space="preserve"> means refusing to provide services, terminating existing services, or otherwise restricting or burdening the scope or nature of services offered or provided.</w:t>
      </w:r>
    </w:p>
    <w:p w14:paraId="25C4EA4E" w14:textId="5798D6E8" w:rsidR="006D54C3" w:rsidRPr="00592D4F" w:rsidRDefault="00083F33" w:rsidP="00592D4F">
      <w:pPr>
        <w:pStyle w:val="SectionBody"/>
        <w:rPr>
          <w:u w:val="single"/>
        </w:rPr>
      </w:pPr>
      <w:r>
        <w:rPr>
          <w:u w:val="single"/>
        </w:rPr>
        <w:t xml:space="preserve">(d) </w:t>
      </w:r>
      <w:r w:rsidR="003202A3">
        <w:rPr>
          <w:u w:val="single"/>
        </w:rPr>
        <w:t>"</w:t>
      </w:r>
      <w:r w:rsidR="006D54C3" w:rsidRPr="00592D4F">
        <w:rPr>
          <w:u w:val="single"/>
        </w:rPr>
        <w:t>Discriminate in the provision of financial services</w:t>
      </w:r>
      <w:r w:rsidR="003202A3">
        <w:rPr>
          <w:u w:val="single"/>
        </w:rPr>
        <w:t>"</w:t>
      </w:r>
      <w:r w:rsidR="006D54C3" w:rsidRPr="00592D4F">
        <w:rPr>
          <w:u w:val="single"/>
        </w:rPr>
        <w:t xml:space="preserve"> means to directly or indirectly deny or restrict services and thereby decline to provide full and equal enjoyment in the provision of financial services.</w:t>
      </w:r>
    </w:p>
    <w:p w14:paraId="67514868" w14:textId="45CD99E1" w:rsidR="006D54C3" w:rsidRPr="00592D4F" w:rsidRDefault="006D54C3" w:rsidP="00592D4F">
      <w:pPr>
        <w:pStyle w:val="SectionBody"/>
        <w:rPr>
          <w:u w:val="single"/>
        </w:rPr>
      </w:pPr>
      <w:r w:rsidRPr="00592D4F">
        <w:rPr>
          <w:u w:val="single"/>
        </w:rPr>
        <w:t>(</w:t>
      </w:r>
      <w:r w:rsidR="00083F33">
        <w:rPr>
          <w:u w:val="single"/>
        </w:rPr>
        <w:t>e</w:t>
      </w:r>
      <w:r w:rsidRPr="00592D4F">
        <w:rPr>
          <w:u w:val="single"/>
        </w:rPr>
        <w:t xml:space="preserve">) </w:t>
      </w:r>
      <w:r w:rsidR="003202A3">
        <w:rPr>
          <w:u w:val="single"/>
        </w:rPr>
        <w:t>"</w:t>
      </w:r>
      <w:r w:rsidRPr="00592D4F">
        <w:rPr>
          <w:u w:val="single"/>
        </w:rPr>
        <w:t>ESG commitment</w:t>
      </w:r>
      <w:r w:rsidR="003202A3">
        <w:rPr>
          <w:u w:val="single"/>
        </w:rPr>
        <w:t>"</w:t>
      </w:r>
      <w:r w:rsidRPr="00592D4F">
        <w:rPr>
          <w:u w:val="single"/>
        </w:rPr>
        <w:t xml:space="preserve"> means</w:t>
      </w:r>
      <w:r w:rsidR="00E652C1" w:rsidRPr="00592D4F">
        <w:rPr>
          <w:u w:val="single"/>
        </w:rPr>
        <w:t>:</w:t>
      </w:r>
    </w:p>
    <w:p w14:paraId="7418E6B1" w14:textId="714B2E77" w:rsidR="006D54C3" w:rsidRPr="00592D4F" w:rsidRDefault="00E652C1" w:rsidP="00592D4F">
      <w:pPr>
        <w:pStyle w:val="SectionBody"/>
        <w:rPr>
          <w:u w:val="single"/>
        </w:rPr>
      </w:pPr>
      <w:r w:rsidRPr="00592D4F">
        <w:rPr>
          <w:u w:val="single"/>
        </w:rPr>
        <w:t>(1) A</w:t>
      </w:r>
      <w:r w:rsidR="006D54C3" w:rsidRPr="00592D4F">
        <w:rPr>
          <w:u w:val="single"/>
        </w:rPr>
        <w:t xml:space="preserve"> public or private commitment by</w:t>
      </w:r>
      <w:r w:rsidRPr="00592D4F">
        <w:rPr>
          <w:u w:val="single"/>
        </w:rPr>
        <w:t>:</w:t>
      </w:r>
    </w:p>
    <w:p w14:paraId="07D2C4C5" w14:textId="341B850F" w:rsidR="006D54C3" w:rsidRPr="00592D4F" w:rsidRDefault="007A3CE8" w:rsidP="00592D4F">
      <w:pPr>
        <w:pStyle w:val="SectionBody"/>
        <w:rPr>
          <w:u w:val="single"/>
        </w:rPr>
      </w:pPr>
      <w:r w:rsidRPr="00592D4F">
        <w:rPr>
          <w:u w:val="single"/>
        </w:rPr>
        <w:t>(A) T</w:t>
      </w:r>
      <w:r w:rsidR="006D54C3" w:rsidRPr="00592D4F">
        <w:rPr>
          <w:u w:val="single"/>
        </w:rPr>
        <w:t>he financial institution,</w:t>
      </w:r>
    </w:p>
    <w:p w14:paraId="3BD36925" w14:textId="7695BCF7" w:rsidR="006D54C3" w:rsidRPr="00592D4F" w:rsidRDefault="007A3CE8" w:rsidP="00592D4F">
      <w:pPr>
        <w:pStyle w:val="SectionBody"/>
        <w:rPr>
          <w:u w:val="single"/>
        </w:rPr>
      </w:pPr>
      <w:r w:rsidRPr="00592D4F">
        <w:rPr>
          <w:u w:val="single"/>
        </w:rPr>
        <w:t>(B) A</w:t>
      </w:r>
      <w:r w:rsidR="006D54C3" w:rsidRPr="00592D4F">
        <w:rPr>
          <w:u w:val="single"/>
        </w:rPr>
        <w:t xml:space="preserve"> subsidiary or affiliate of the financial institution,</w:t>
      </w:r>
    </w:p>
    <w:p w14:paraId="38759765" w14:textId="53B47018" w:rsidR="006D54C3" w:rsidRPr="00592D4F" w:rsidRDefault="007A3CE8" w:rsidP="00592D4F">
      <w:pPr>
        <w:pStyle w:val="SectionBody"/>
        <w:rPr>
          <w:u w:val="single"/>
        </w:rPr>
      </w:pPr>
      <w:r w:rsidRPr="00592D4F">
        <w:rPr>
          <w:u w:val="single"/>
        </w:rPr>
        <w:t>(C) T</w:t>
      </w:r>
      <w:r w:rsidR="006D54C3" w:rsidRPr="00592D4F">
        <w:rPr>
          <w:u w:val="single"/>
        </w:rPr>
        <w:t>he financial institution</w:t>
      </w:r>
      <w:r w:rsidR="00946FBF">
        <w:rPr>
          <w:u w:val="single"/>
        </w:rPr>
        <w:t>'</w:t>
      </w:r>
      <w:r w:rsidR="006D54C3" w:rsidRPr="00592D4F">
        <w:rPr>
          <w:u w:val="single"/>
        </w:rPr>
        <w:t>s board of directors, or</w:t>
      </w:r>
    </w:p>
    <w:p w14:paraId="123DC733" w14:textId="60F4AB27" w:rsidR="006D54C3" w:rsidRPr="00592D4F" w:rsidRDefault="007A3CE8" w:rsidP="00592D4F">
      <w:pPr>
        <w:pStyle w:val="SectionBody"/>
        <w:rPr>
          <w:u w:val="single"/>
        </w:rPr>
      </w:pPr>
      <w:r w:rsidRPr="00592D4F">
        <w:rPr>
          <w:u w:val="single"/>
        </w:rPr>
        <w:t>(D) T</w:t>
      </w:r>
      <w:r w:rsidR="006D54C3" w:rsidRPr="00592D4F">
        <w:rPr>
          <w:u w:val="single"/>
        </w:rPr>
        <w:t>he financial institutions officers</w:t>
      </w:r>
      <w:r w:rsidR="00946FBF">
        <w:rPr>
          <w:u w:val="single"/>
        </w:rPr>
        <w:t>.</w:t>
      </w:r>
    </w:p>
    <w:p w14:paraId="37E0650E" w14:textId="5BBF1CAC" w:rsidR="006D54C3" w:rsidRPr="00592D4F" w:rsidRDefault="007A3CE8" w:rsidP="00592D4F">
      <w:pPr>
        <w:pStyle w:val="SectionBody"/>
        <w:rPr>
          <w:u w:val="single"/>
        </w:rPr>
      </w:pPr>
      <w:r w:rsidRPr="00592D4F">
        <w:rPr>
          <w:u w:val="single"/>
        </w:rPr>
        <w:t>(2) T</w:t>
      </w:r>
      <w:r w:rsidR="006D54C3" w:rsidRPr="00592D4F">
        <w:rPr>
          <w:u w:val="single"/>
        </w:rPr>
        <w:t>o use its</w:t>
      </w:r>
      <w:r w:rsidRPr="00592D4F">
        <w:rPr>
          <w:u w:val="single"/>
        </w:rPr>
        <w:t>:</w:t>
      </w:r>
    </w:p>
    <w:p w14:paraId="0F2C9254" w14:textId="22E2D50B" w:rsidR="006D54C3" w:rsidRPr="00592D4F" w:rsidRDefault="007A3CE8" w:rsidP="00592D4F">
      <w:pPr>
        <w:pStyle w:val="SectionBody"/>
        <w:rPr>
          <w:u w:val="single"/>
        </w:rPr>
      </w:pPr>
      <w:r w:rsidRPr="00592D4F">
        <w:rPr>
          <w:u w:val="single"/>
        </w:rPr>
        <w:t>(A) M</w:t>
      </w:r>
      <w:r w:rsidR="006D54C3" w:rsidRPr="00592D4F">
        <w:rPr>
          <w:u w:val="single"/>
        </w:rPr>
        <w:t>arket position,</w:t>
      </w:r>
    </w:p>
    <w:p w14:paraId="3BF66108" w14:textId="2708436C" w:rsidR="006D54C3" w:rsidRPr="00592D4F" w:rsidRDefault="007A3CE8" w:rsidP="00592D4F">
      <w:pPr>
        <w:pStyle w:val="SectionBody"/>
        <w:rPr>
          <w:u w:val="single"/>
        </w:rPr>
      </w:pPr>
      <w:r w:rsidRPr="00592D4F">
        <w:rPr>
          <w:u w:val="single"/>
        </w:rPr>
        <w:t>(B) M</w:t>
      </w:r>
      <w:r w:rsidR="006D54C3" w:rsidRPr="00592D4F">
        <w:rPr>
          <w:u w:val="single"/>
        </w:rPr>
        <w:t>arket power,</w:t>
      </w:r>
    </w:p>
    <w:p w14:paraId="75F53271" w14:textId="2EC15710" w:rsidR="006D54C3" w:rsidRPr="00592D4F" w:rsidRDefault="007A3CE8" w:rsidP="00592D4F">
      <w:pPr>
        <w:pStyle w:val="SectionBody"/>
        <w:rPr>
          <w:u w:val="single"/>
        </w:rPr>
      </w:pPr>
      <w:r w:rsidRPr="00592D4F">
        <w:rPr>
          <w:u w:val="single"/>
        </w:rPr>
        <w:t>(C) I</w:t>
      </w:r>
      <w:r w:rsidR="006D54C3" w:rsidRPr="00592D4F">
        <w:rPr>
          <w:u w:val="single"/>
        </w:rPr>
        <w:t>nfluence, or</w:t>
      </w:r>
    </w:p>
    <w:p w14:paraId="5A9CFE47" w14:textId="5B95FB35" w:rsidR="006D54C3" w:rsidRPr="00592D4F" w:rsidRDefault="007A3CE8" w:rsidP="00592D4F">
      <w:pPr>
        <w:pStyle w:val="SectionBody"/>
        <w:rPr>
          <w:u w:val="single"/>
        </w:rPr>
      </w:pPr>
      <w:r w:rsidRPr="00592D4F">
        <w:rPr>
          <w:u w:val="single"/>
        </w:rPr>
        <w:t>(D) A</w:t>
      </w:r>
      <w:r w:rsidR="006D54C3" w:rsidRPr="00592D4F">
        <w:rPr>
          <w:u w:val="single"/>
        </w:rPr>
        <w:t>bility to withhold or provide business or credit</w:t>
      </w:r>
      <w:r w:rsidRPr="00592D4F">
        <w:rPr>
          <w:u w:val="single"/>
        </w:rPr>
        <w:t>.</w:t>
      </w:r>
    </w:p>
    <w:p w14:paraId="7E8222C3" w14:textId="2C130A8C" w:rsidR="006D54C3" w:rsidRPr="00592D4F" w:rsidRDefault="007A3CE8" w:rsidP="00592D4F">
      <w:pPr>
        <w:pStyle w:val="SectionBody"/>
        <w:rPr>
          <w:u w:val="single"/>
        </w:rPr>
      </w:pPr>
      <w:r w:rsidRPr="00592D4F">
        <w:rPr>
          <w:u w:val="single"/>
        </w:rPr>
        <w:t xml:space="preserve">(3) To </w:t>
      </w:r>
      <w:r w:rsidR="006D54C3" w:rsidRPr="00592D4F">
        <w:rPr>
          <w:u w:val="single"/>
        </w:rPr>
        <w:t>eliminate, reduce, offset, or disclose greenhouse gas emissions or achieve other environ</w:t>
      </w:r>
      <w:r w:rsidR="00083F33">
        <w:rPr>
          <w:u w:val="single"/>
        </w:rPr>
        <w:t>m</w:t>
      </w:r>
      <w:r w:rsidR="006D54C3" w:rsidRPr="00592D4F">
        <w:rPr>
          <w:u w:val="single"/>
        </w:rPr>
        <w:t>ental standards or objectives beyond those imposed by applicable laws;</w:t>
      </w:r>
    </w:p>
    <w:p w14:paraId="0158E19F" w14:textId="5A9E6A50" w:rsidR="006D54C3" w:rsidRPr="00592D4F" w:rsidRDefault="006D54C3" w:rsidP="00592D4F">
      <w:pPr>
        <w:pStyle w:val="SectionBody"/>
        <w:rPr>
          <w:u w:val="single"/>
        </w:rPr>
      </w:pPr>
      <w:r w:rsidRPr="00592D4F">
        <w:rPr>
          <w:u w:val="single"/>
        </w:rPr>
        <w:t>(</w:t>
      </w:r>
      <w:r w:rsidR="007A3CE8" w:rsidRPr="00592D4F">
        <w:rPr>
          <w:u w:val="single"/>
        </w:rPr>
        <w:t>4</w:t>
      </w:r>
      <w:r w:rsidRPr="00592D4F">
        <w:rPr>
          <w:u w:val="single"/>
        </w:rPr>
        <w:t>)</w:t>
      </w:r>
      <w:r w:rsidR="007A3CE8" w:rsidRPr="00592D4F">
        <w:rPr>
          <w:u w:val="single"/>
        </w:rPr>
        <w:t xml:space="preserve"> A</w:t>
      </w:r>
      <w:r w:rsidRPr="00592D4F">
        <w:rPr>
          <w:u w:val="single"/>
        </w:rPr>
        <w:t xml:space="preserve"> financial institution</w:t>
      </w:r>
      <w:r w:rsidR="00946FBF">
        <w:rPr>
          <w:u w:val="single"/>
        </w:rPr>
        <w:t>'</w:t>
      </w:r>
      <w:r w:rsidRPr="00592D4F">
        <w:rPr>
          <w:u w:val="single"/>
        </w:rPr>
        <w:t>s decision to join any initiative or organization that has a purpose for its signatories</w:t>
      </w:r>
      <w:r w:rsidR="00946FBF">
        <w:rPr>
          <w:u w:val="single"/>
        </w:rPr>
        <w:t>'</w:t>
      </w:r>
      <w:r w:rsidRPr="00592D4F">
        <w:rPr>
          <w:u w:val="single"/>
        </w:rPr>
        <w:t xml:space="preserve"> or members</w:t>
      </w:r>
      <w:r w:rsidR="00946FBF">
        <w:rPr>
          <w:u w:val="single"/>
        </w:rPr>
        <w:t>'</w:t>
      </w:r>
      <w:r w:rsidRPr="00592D4F">
        <w:rPr>
          <w:u w:val="single"/>
        </w:rPr>
        <w:t xml:space="preserve"> customers to be aligned with any environmental, social, or political goals.</w:t>
      </w:r>
    </w:p>
    <w:p w14:paraId="58FBEF33" w14:textId="6587E30E" w:rsidR="006D54C3" w:rsidRPr="00592D4F" w:rsidRDefault="007A3CE8" w:rsidP="00592D4F">
      <w:pPr>
        <w:pStyle w:val="SectionBody"/>
        <w:rPr>
          <w:u w:val="single"/>
        </w:rPr>
      </w:pPr>
      <w:r w:rsidRPr="00592D4F">
        <w:rPr>
          <w:u w:val="single"/>
        </w:rPr>
        <w:t>(</w:t>
      </w:r>
      <w:r w:rsidR="00083F33">
        <w:rPr>
          <w:u w:val="single"/>
        </w:rPr>
        <w:t>f</w:t>
      </w:r>
      <w:r w:rsidRPr="00592D4F">
        <w:rPr>
          <w:u w:val="single"/>
        </w:rPr>
        <w:t xml:space="preserve">) </w:t>
      </w:r>
      <w:r w:rsidR="003202A3">
        <w:rPr>
          <w:u w:val="single"/>
        </w:rPr>
        <w:t>"</w:t>
      </w:r>
      <w:r w:rsidR="006D54C3" w:rsidRPr="00592D4F">
        <w:rPr>
          <w:u w:val="single"/>
        </w:rPr>
        <w:t>Financial institution</w:t>
      </w:r>
      <w:r w:rsidR="003202A3">
        <w:rPr>
          <w:u w:val="single"/>
        </w:rPr>
        <w:t>"</w:t>
      </w:r>
      <w:r w:rsidR="006D54C3" w:rsidRPr="00592D4F">
        <w:rPr>
          <w:u w:val="single"/>
        </w:rPr>
        <w:t xml:space="preserve"> means a company that</w:t>
      </w:r>
      <w:r w:rsidRPr="00592D4F">
        <w:rPr>
          <w:u w:val="single"/>
        </w:rPr>
        <w:t>:</w:t>
      </w:r>
    </w:p>
    <w:p w14:paraId="70C38561" w14:textId="7A394B66" w:rsidR="006D54C3" w:rsidRPr="00592D4F" w:rsidRDefault="007A3CE8" w:rsidP="00592D4F">
      <w:pPr>
        <w:pStyle w:val="SectionBody"/>
        <w:rPr>
          <w:u w:val="single"/>
        </w:rPr>
      </w:pPr>
      <w:r w:rsidRPr="00592D4F">
        <w:rPr>
          <w:u w:val="single"/>
        </w:rPr>
        <w:t>(1) O</w:t>
      </w:r>
      <w:r w:rsidR="006D54C3" w:rsidRPr="00592D4F">
        <w:rPr>
          <w:u w:val="single"/>
        </w:rPr>
        <w:t>ffers financial services,</w:t>
      </w:r>
    </w:p>
    <w:p w14:paraId="17E0D6B2" w14:textId="2ED6C778" w:rsidR="006D54C3" w:rsidRPr="00592D4F" w:rsidRDefault="007A3CE8" w:rsidP="00592D4F">
      <w:pPr>
        <w:pStyle w:val="SectionBody"/>
        <w:rPr>
          <w:u w:val="single"/>
        </w:rPr>
      </w:pPr>
      <w:r w:rsidRPr="00592D4F">
        <w:rPr>
          <w:u w:val="single"/>
        </w:rPr>
        <w:t>(2) H</w:t>
      </w:r>
      <w:r w:rsidR="006D54C3" w:rsidRPr="00592D4F">
        <w:rPr>
          <w:u w:val="single"/>
        </w:rPr>
        <w:t>as total assets over $100 billion, including the assets of any subsidiaries and affiliate companies, and</w:t>
      </w:r>
    </w:p>
    <w:p w14:paraId="27993944" w14:textId="53C16652" w:rsidR="006D54C3" w:rsidRPr="00592D4F" w:rsidRDefault="007A3CE8" w:rsidP="00592D4F">
      <w:pPr>
        <w:pStyle w:val="SectionBody"/>
        <w:rPr>
          <w:u w:val="single"/>
        </w:rPr>
      </w:pPr>
      <w:r w:rsidRPr="00592D4F">
        <w:rPr>
          <w:u w:val="single"/>
        </w:rPr>
        <w:t>(3) F</w:t>
      </w:r>
      <w:r w:rsidR="006D54C3" w:rsidRPr="00592D4F">
        <w:rPr>
          <w:u w:val="single"/>
        </w:rPr>
        <w:t xml:space="preserve">inancial services account for at least </w:t>
      </w:r>
      <w:r w:rsidR="00946FBF">
        <w:rPr>
          <w:u w:val="single"/>
        </w:rPr>
        <w:t>10%</w:t>
      </w:r>
      <w:r w:rsidR="006D54C3" w:rsidRPr="00592D4F">
        <w:rPr>
          <w:u w:val="single"/>
        </w:rPr>
        <w:t xml:space="preserve"> of the company</w:t>
      </w:r>
      <w:r w:rsidR="00946FBF">
        <w:rPr>
          <w:u w:val="single"/>
        </w:rPr>
        <w:t>'</w:t>
      </w:r>
      <w:r w:rsidR="006D54C3" w:rsidRPr="00592D4F">
        <w:rPr>
          <w:u w:val="single"/>
        </w:rPr>
        <w:t>s revenues.</w:t>
      </w:r>
    </w:p>
    <w:p w14:paraId="6C5520CA" w14:textId="62E1E134" w:rsidR="006D54C3" w:rsidRPr="00592D4F" w:rsidRDefault="007A3CE8" w:rsidP="00592D4F">
      <w:pPr>
        <w:pStyle w:val="SectionBody"/>
        <w:rPr>
          <w:u w:val="single"/>
        </w:rPr>
      </w:pPr>
      <w:r w:rsidRPr="00592D4F">
        <w:rPr>
          <w:u w:val="single"/>
        </w:rPr>
        <w:t>(</w:t>
      </w:r>
      <w:r w:rsidR="00083F33">
        <w:rPr>
          <w:u w:val="single"/>
        </w:rPr>
        <w:t>g</w:t>
      </w:r>
      <w:r w:rsidRPr="00592D4F">
        <w:rPr>
          <w:u w:val="single"/>
        </w:rPr>
        <w:t xml:space="preserve">) </w:t>
      </w:r>
      <w:r w:rsidR="003202A3">
        <w:rPr>
          <w:u w:val="single"/>
        </w:rPr>
        <w:t>"</w:t>
      </w:r>
      <w:r w:rsidR="006D54C3" w:rsidRPr="00592D4F">
        <w:rPr>
          <w:u w:val="single"/>
        </w:rPr>
        <w:t>Financial service</w:t>
      </w:r>
      <w:r w:rsidR="003202A3">
        <w:rPr>
          <w:u w:val="single"/>
        </w:rPr>
        <w:t>"</w:t>
      </w:r>
      <w:r w:rsidR="006D54C3" w:rsidRPr="00592D4F">
        <w:rPr>
          <w:u w:val="single"/>
        </w:rPr>
        <w:t xml:space="preserve"> means any product or service that is of a financial nature including, but not limited to, banking services, lending, credit card or debit card services, investment banking services, securities brokerage or securities dealing, investment advice, insurance, electronic payment services, or money transfer services.</w:t>
      </w:r>
    </w:p>
    <w:p w14:paraId="778C99DC" w14:textId="40414BDB" w:rsidR="007A3CE8" w:rsidRPr="00592D4F" w:rsidRDefault="007A3CE8" w:rsidP="00592D4F">
      <w:pPr>
        <w:pStyle w:val="SectionHeading"/>
        <w:rPr>
          <w:u w:val="single"/>
        </w:rPr>
      </w:pPr>
      <w:r w:rsidRPr="00592D4F">
        <w:rPr>
          <w:u w:val="single"/>
        </w:rPr>
        <w:t>§19-40-3. Prohibition on unlawful discrimination in agriculture financing.</w:t>
      </w:r>
    </w:p>
    <w:p w14:paraId="1E38DD07" w14:textId="77777777" w:rsidR="007A3CE8" w:rsidRDefault="007A3CE8" w:rsidP="007A3CE8">
      <w:pPr>
        <w:pStyle w:val="SectionBody"/>
        <w:sectPr w:rsidR="007A3CE8" w:rsidSect="009E1BA9">
          <w:type w:val="continuous"/>
          <w:pgSz w:w="12240" w:h="15840" w:code="1"/>
          <w:pgMar w:top="1440" w:right="1440" w:bottom="1440" w:left="1440" w:header="720" w:footer="720" w:gutter="0"/>
          <w:lnNumType w:countBy="1" w:restart="newSection"/>
          <w:cols w:space="720"/>
          <w:titlePg/>
          <w:docGrid w:linePitch="360"/>
        </w:sectPr>
      </w:pPr>
    </w:p>
    <w:p w14:paraId="216BE252" w14:textId="08416BB9" w:rsidR="007A3CE8" w:rsidRPr="00592D4F" w:rsidRDefault="003C430C" w:rsidP="00592D4F">
      <w:pPr>
        <w:pStyle w:val="SectionBody"/>
        <w:rPr>
          <w:u w:val="single"/>
        </w:rPr>
      </w:pPr>
      <w:r w:rsidRPr="00592D4F">
        <w:rPr>
          <w:u w:val="single"/>
        </w:rPr>
        <w:t xml:space="preserve">(a) </w:t>
      </w:r>
      <w:r w:rsidR="007A3CE8" w:rsidRPr="00592D4F">
        <w:rPr>
          <w:u w:val="single"/>
        </w:rPr>
        <w:t>A financial institution shall not discriminate in the provision of financial services to an agriculture producer based, in whole or in part, upon the agriculture producer</w:t>
      </w:r>
      <w:r w:rsidR="00946FBF">
        <w:rPr>
          <w:u w:val="single"/>
        </w:rPr>
        <w:t>'</w:t>
      </w:r>
      <w:r w:rsidR="007A3CE8" w:rsidRPr="00592D4F">
        <w:rPr>
          <w:u w:val="single"/>
        </w:rPr>
        <w:t>s greenhouse gas emissions, use of fossil-fuel derived fertilizer, or use of fossil-fuel powered machinery.</w:t>
      </w:r>
    </w:p>
    <w:p w14:paraId="281C6713" w14:textId="680A1E24" w:rsidR="003C430C" w:rsidRPr="00592D4F" w:rsidRDefault="007A3CE8" w:rsidP="00592D4F">
      <w:pPr>
        <w:pStyle w:val="SectionBody"/>
        <w:rPr>
          <w:u w:val="single"/>
        </w:rPr>
      </w:pPr>
      <w:r w:rsidRPr="00592D4F">
        <w:rPr>
          <w:u w:val="single"/>
        </w:rPr>
        <w:t>(</w:t>
      </w:r>
      <w:r w:rsidR="003C430C" w:rsidRPr="00592D4F">
        <w:rPr>
          <w:u w:val="single"/>
        </w:rPr>
        <w:t>b</w:t>
      </w:r>
      <w:r w:rsidRPr="00592D4F">
        <w:rPr>
          <w:u w:val="single"/>
        </w:rPr>
        <w:t>) If a financial institution has made any ESG commitment, there shall be a rebuttable presumption that the institution</w:t>
      </w:r>
      <w:r w:rsidR="00946FBF">
        <w:rPr>
          <w:u w:val="single"/>
        </w:rPr>
        <w:t>'</w:t>
      </w:r>
      <w:r w:rsidRPr="00592D4F">
        <w:rPr>
          <w:u w:val="single"/>
        </w:rPr>
        <w:t xml:space="preserve">s denial or restriction of a financial service to an agriculture producer </w:t>
      </w:r>
      <w:r w:rsidR="003C430C" w:rsidRPr="00592D4F">
        <w:rPr>
          <w:u w:val="single"/>
        </w:rPr>
        <w:t xml:space="preserve">is a violation of §19-40-1 </w:t>
      </w:r>
      <w:r w:rsidR="003C430C" w:rsidRPr="00946FBF">
        <w:rPr>
          <w:i/>
          <w:iCs/>
          <w:u w:val="single"/>
        </w:rPr>
        <w:t>et seq.</w:t>
      </w:r>
      <w:r w:rsidR="003C430C" w:rsidRPr="00592D4F">
        <w:rPr>
          <w:u w:val="single"/>
        </w:rPr>
        <w:t xml:space="preserve"> of this code</w:t>
      </w:r>
      <w:r w:rsidRPr="00592D4F">
        <w:rPr>
          <w:u w:val="single"/>
        </w:rPr>
        <w:t xml:space="preserve">. </w:t>
      </w:r>
    </w:p>
    <w:p w14:paraId="5C2969BF" w14:textId="77777777" w:rsidR="003C430C" w:rsidRPr="00592D4F" w:rsidRDefault="003C430C" w:rsidP="00592D4F">
      <w:pPr>
        <w:pStyle w:val="SectionBody"/>
        <w:rPr>
          <w:u w:val="single"/>
        </w:rPr>
      </w:pPr>
      <w:r w:rsidRPr="00592D4F">
        <w:rPr>
          <w:u w:val="single"/>
        </w:rPr>
        <w:t xml:space="preserve">(c) </w:t>
      </w:r>
      <w:r w:rsidR="007A3CE8" w:rsidRPr="00592D4F">
        <w:rPr>
          <w:u w:val="single"/>
        </w:rPr>
        <w:t>Evidence of an ESG commitment includes, but is not limited to, any of the following:</w:t>
      </w:r>
    </w:p>
    <w:p w14:paraId="6B5C2C7E" w14:textId="6267488F" w:rsidR="003C430C" w:rsidRPr="00592D4F" w:rsidRDefault="007A3CE8" w:rsidP="00592D4F">
      <w:pPr>
        <w:pStyle w:val="SectionBody"/>
        <w:rPr>
          <w:u w:val="single"/>
        </w:rPr>
      </w:pPr>
      <w:r w:rsidRPr="00592D4F">
        <w:rPr>
          <w:u w:val="single"/>
        </w:rPr>
        <w:t>(</w:t>
      </w:r>
      <w:r w:rsidR="003C430C" w:rsidRPr="00592D4F">
        <w:rPr>
          <w:u w:val="single"/>
        </w:rPr>
        <w:t>1</w:t>
      </w:r>
      <w:r w:rsidRPr="00592D4F">
        <w:rPr>
          <w:u w:val="single"/>
        </w:rPr>
        <w:t xml:space="preserve">) </w:t>
      </w:r>
      <w:r w:rsidR="003C430C" w:rsidRPr="00592D4F">
        <w:rPr>
          <w:u w:val="single"/>
        </w:rPr>
        <w:t>A</w:t>
      </w:r>
      <w:r w:rsidRPr="00592D4F">
        <w:rPr>
          <w:u w:val="single"/>
        </w:rPr>
        <w:t>dvertising</w:t>
      </w:r>
      <w:r w:rsidR="00946FBF">
        <w:rPr>
          <w:u w:val="single"/>
        </w:rPr>
        <w:t>;</w:t>
      </w:r>
    </w:p>
    <w:p w14:paraId="5191A330" w14:textId="134C8EC1" w:rsidR="003C430C" w:rsidRPr="00946FBF" w:rsidRDefault="007A3CE8" w:rsidP="00592D4F">
      <w:pPr>
        <w:pStyle w:val="SectionBody"/>
        <w:rPr>
          <w:color w:val="5B9BD5" w:themeColor="accent1"/>
          <w:u w:val="single"/>
        </w:rPr>
      </w:pPr>
      <w:r w:rsidRPr="00592D4F">
        <w:rPr>
          <w:u w:val="single"/>
        </w:rPr>
        <w:t>(</w:t>
      </w:r>
      <w:r w:rsidR="003C430C" w:rsidRPr="00592D4F">
        <w:rPr>
          <w:u w:val="single"/>
        </w:rPr>
        <w:t>2</w:t>
      </w:r>
      <w:r w:rsidRPr="00592D4F">
        <w:rPr>
          <w:u w:val="single"/>
        </w:rPr>
        <w:t xml:space="preserve">) </w:t>
      </w:r>
      <w:r w:rsidR="003C430C" w:rsidRPr="00592D4F">
        <w:rPr>
          <w:u w:val="single"/>
        </w:rPr>
        <w:t>P</w:t>
      </w:r>
      <w:r w:rsidRPr="00592D4F">
        <w:rPr>
          <w:u w:val="single"/>
        </w:rPr>
        <w:t>ublic or private statements, resolutions, explanations, reports, memoranda or other communications</w:t>
      </w:r>
      <w:r w:rsidR="00946FBF">
        <w:rPr>
          <w:color w:val="5B9BD5" w:themeColor="accent1"/>
          <w:u w:val="single"/>
        </w:rPr>
        <w:t xml:space="preserve"> </w:t>
      </w:r>
      <w:r w:rsidR="00946FBF" w:rsidRPr="00E52CA6">
        <w:rPr>
          <w:color w:val="auto"/>
          <w:u w:val="single"/>
        </w:rPr>
        <w:t>; and</w:t>
      </w:r>
    </w:p>
    <w:p w14:paraId="11E91EC1" w14:textId="5E16BF3B" w:rsidR="007A3CE8" w:rsidRPr="00592D4F" w:rsidRDefault="007A3CE8" w:rsidP="00592D4F">
      <w:pPr>
        <w:pStyle w:val="SectionBody"/>
        <w:rPr>
          <w:u w:val="single"/>
        </w:rPr>
      </w:pPr>
      <w:r w:rsidRPr="00592D4F">
        <w:rPr>
          <w:u w:val="single"/>
        </w:rPr>
        <w:t>(</w:t>
      </w:r>
      <w:r w:rsidR="003C430C" w:rsidRPr="00592D4F">
        <w:rPr>
          <w:u w:val="single"/>
        </w:rPr>
        <w:t>3</w:t>
      </w:r>
      <w:r w:rsidRPr="00592D4F">
        <w:rPr>
          <w:u w:val="single"/>
        </w:rPr>
        <w:t xml:space="preserve">) </w:t>
      </w:r>
      <w:r w:rsidR="003C430C" w:rsidRPr="00592D4F">
        <w:rPr>
          <w:u w:val="single"/>
        </w:rPr>
        <w:t>P</w:t>
      </w:r>
      <w:r w:rsidRPr="00592D4F">
        <w:rPr>
          <w:u w:val="single"/>
        </w:rPr>
        <w:t>articipation in, affiliation with, or status as a signatory to, any coalition, initiative, joint statement of principles, or agreement, the purpose of which is to use business activity to further environmental, social, or political goals.</w:t>
      </w:r>
    </w:p>
    <w:p w14:paraId="6DDDD04F" w14:textId="03924312" w:rsidR="007A3CE8" w:rsidRPr="00592D4F" w:rsidRDefault="007A3CE8" w:rsidP="00592D4F">
      <w:pPr>
        <w:pStyle w:val="SectionBody"/>
        <w:rPr>
          <w:u w:val="single"/>
        </w:rPr>
      </w:pPr>
      <w:r w:rsidRPr="00592D4F">
        <w:rPr>
          <w:u w:val="single"/>
        </w:rPr>
        <w:t>(</w:t>
      </w:r>
      <w:r w:rsidR="003C430C" w:rsidRPr="00592D4F">
        <w:rPr>
          <w:u w:val="single"/>
        </w:rPr>
        <w:t>c</w:t>
      </w:r>
      <w:r w:rsidRPr="00592D4F">
        <w:rPr>
          <w:u w:val="single"/>
        </w:rPr>
        <w:t>) A financial institution may overcome the rebuttable presumption in subsection (</w:t>
      </w:r>
      <w:r w:rsidR="00083F33">
        <w:rPr>
          <w:u w:val="single"/>
        </w:rPr>
        <w:t>b</w:t>
      </w:r>
      <w:r w:rsidRPr="00592D4F">
        <w:rPr>
          <w:u w:val="single"/>
        </w:rPr>
        <w:t>) by demonstrating, through clear and convincing evidence, that its denial or restriction of a financial service was based solely on a documented ordinary business purpose, and not on any ESG commitment.</w:t>
      </w:r>
      <w:r w:rsidR="00946FBF">
        <w:rPr>
          <w:u w:val="single"/>
        </w:rPr>
        <w:t xml:space="preserve"> </w:t>
      </w:r>
      <w:r w:rsidRPr="00592D4F">
        <w:rPr>
          <w:u w:val="single"/>
        </w:rPr>
        <w:t xml:space="preserve"> </w:t>
      </w:r>
      <w:r w:rsidR="003202A3">
        <w:rPr>
          <w:u w:val="single"/>
        </w:rPr>
        <w:t>"</w:t>
      </w:r>
      <w:r w:rsidRPr="00592D4F">
        <w:rPr>
          <w:u w:val="single"/>
        </w:rPr>
        <w:t>Ordinary business purpose</w:t>
      </w:r>
      <w:r w:rsidR="003202A3">
        <w:rPr>
          <w:u w:val="single"/>
        </w:rPr>
        <w:t>"</w:t>
      </w:r>
      <w:r w:rsidRPr="00592D4F">
        <w:rPr>
          <w:u w:val="single"/>
        </w:rPr>
        <w:t xml:space="preserve"> does not include any purpose to further environmental, social, or political interests.</w:t>
      </w:r>
    </w:p>
    <w:p w14:paraId="27E2D7AE" w14:textId="5CAE59C5" w:rsidR="003C430C" w:rsidRPr="00592D4F" w:rsidRDefault="003C430C" w:rsidP="00592D4F">
      <w:pPr>
        <w:pStyle w:val="SectionHeading"/>
        <w:rPr>
          <w:u w:val="single"/>
        </w:rPr>
      </w:pPr>
      <w:r w:rsidRPr="00592D4F">
        <w:rPr>
          <w:u w:val="single"/>
        </w:rPr>
        <w:t>§19-40-4. Enforcement.</w:t>
      </w:r>
    </w:p>
    <w:p w14:paraId="30DDE488" w14:textId="77777777" w:rsidR="003C430C" w:rsidRDefault="003C430C" w:rsidP="003C430C">
      <w:pPr>
        <w:pStyle w:val="SectionBody"/>
        <w:sectPr w:rsidR="003C430C" w:rsidSect="009E1BA9">
          <w:type w:val="continuous"/>
          <w:pgSz w:w="12240" w:h="15840" w:code="1"/>
          <w:pgMar w:top="1440" w:right="1440" w:bottom="1440" w:left="1440" w:header="720" w:footer="720" w:gutter="0"/>
          <w:lnNumType w:countBy="1" w:restart="newSection"/>
          <w:cols w:space="720"/>
          <w:titlePg/>
          <w:docGrid w:linePitch="360"/>
        </w:sectPr>
      </w:pPr>
    </w:p>
    <w:p w14:paraId="558FD035" w14:textId="4EA985E0" w:rsidR="003C430C" w:rsidRPr="00592D4F" w:rsidRDefault="003C430C" w:rsidP="00592D4F">
      <w:pPr>
        <w:pStyle w:val="SectionBody"/>
        <w:rPr>
          <w:u w:val="single"/>
        </w:rPr>
      </w:pPr>
      <w:r w:rsidRPr="00592D4F">
        <w:rPr>
          <w:u w:val="single"/>
        </w:rPr>
        <w:t>(a) This article may be enforced by the Attorney General. Any violation of this article shall constitute a violation of West Virginia civil rights law, and the Attorney General may investigate and seek remedies as provided in that law. Any violation of this article also shall constitute an unfair act in violation of</w:t>
      </w:r>
      <w:r w:rsidR="0026632F">
        <w:rPr>
          <w:u w:val="single"/>
        </w:rPr>
        <w:t xml:space="preserve"> </w:t>
      </w:r>
      <w:r w:rsidRPr="00592D4F">
        <w:rPr>
          <w:u w:val="single"/>
        </w:rPr>
        <w:t>§46A-6-104 of this code, and the Attorney General may investigate and seek remedies as provided in that law.</w:t>
      </w:r>
    </w:p>
    <w:p w14:paraId="176A8989" w14:textId="2A34F994" w:rsidR="003C430C" w:rsidRPr="00592D4F" w:rsidRDefault="003C430C" w:rsidP="00592D4F">
      <w:pPr>
        <w:pStyle w:val="SectionBody"/>
        <w:rPr>
          <w:u w:val="single"/>
        </w:rPr>
      </w:pPr>
      <w:r w:rsidRPr="00592D4F">
        <w:rPr>
          <w:u w:val="single"/>
        </w:rPr>
        <w:t>(b) This article also may be enforced by the Commissioner of Agriculture.</w:t>
      </w:r>
    </w:p>
    <w:p w14:paraId="22245A70" w14:textId="5C95BA86" w:rsidR="003C430C" w:rsidRPr="00592D4F" w:rsidRDefault="003C430C" w:rsidP="00592D4F">
      <w:pPr>
        <w:pStyle w:val="SectionBody"/>
        <w:rPr>
          <w:u w:val="single"/>
        </w:rPr>
      </w:pPr>
      <w:r w:rsidRPr="00592D4F">
        <w:rPr>
          <w:u w:val="single"/>
        </w:rPr>
        <w:t xml:space="preserve">(1) If the Commissioner of Agriculture has reasonable cause to believe that a financial institution has engaged in or is engaging in a violation of this </w:t>
      </w:r>
      <w:r w:rsidR="0026632F">
        <w:rPr>
          <w:u w:val="single"/>
        </w:rPr>
        <w:t>a</w:t>
      </w:r>
      <w:r w:rsidRPr="00592D4F">
        <w:rPr>
          <w:u w:val="single"/>
        </w:rPr>
        <w:t xml:space="preserve">ct, the Commissioner of Agriculture may: </w:t>
      </w:r>
    </w:p>
    <w:p w14:paraId="215305BE" w14:textId="5AA3CD29" w:rsidR="003C430C" w:rsidRPr="00592D4F" w:rsidRDefault="003C430C" w:rsidP="00592D4F">
      <w:pPr>
        <w:pStyle w:val="SectionBody"/>
        <w:rPr>
          <w:u w:val="single"/>
        </w:rPr>
      </w:pPr>
      <w:r w:rsidRPr="00592D4F">
        <w:rPr>
          <w:u w:val="single"/>
        </w:rPr>
        <w:t>(A) Require the financial institution to file on forms the Commissioner of Agriculture prescribes a statement or report in writing, under oath, as to all the facts and circumstances concerning the violation, as well as other data and information the Commissioner of Agriculture deems necessary;</w:t>
      </w:r>
    </w:p>
    <w:p w14:paraId="4870B4A0" w14:textId="0062597F" w:rsidR="003C430C" w:rsidRPr="00592D4F" w:rsidRDefault="003C430C" w:rsidP="00592D4F">
      <w:pPr>
        <w:pStyle w:val="SectionBody"/>
        <w:rPr>
          <w:u w:val="single"/>
        </w:rPr>
      </w:pPr>
      <w:r w:rsidRPr="00592D4F">
        <w:rPr>
          <w:u w:val="single"/>
        </w:rPr>
        <w:t>(B) Examine under oath any person in connection with the violation; and</w:t>
      </w:r>
    </w:p>
    <w:p w14:paraId="52B7D302" w14:textId="36C4A33A" w:rsidR="003C430C" w:rsidRPr="00592D4F" w:rsidRDefault="003C430C" w:rsidP="00592D4F">
      <w:pPr>
        <w:pStyle w:val="SectionBody"/>
        <w:rPr>
          <w:u w:val="single"/>
        </w:rPr>
      </w:pPr>
      <w:r w:rsidRPr="00592D4F">
        <w:rPr>
          <w:u w:val="single"/>
        </w:rPr>
        <w:t>(C) Examine any record, book, document, account, or paper the Commissioner of Agriculture deems necessary.</w:t>
      </w:r>
    </w:p>
    <w:p w14:paraId="464B8EB1" w14:textId="1DBA8BF2" w:rsidR="003C430C" w:rsidRPr="00592D4F" w:rsidRDefault="003C430C" w:rsidP="00592D4F">
      <w:pPr>
        <w:pStyle w:val="SectionBody"/>
        <w:rPr>
          <w:u w:val="single"/>
        </w:rPr>
      </w:pPr>
      <w:r w:rsidRPr="00592D4F">
        <w:rPr>
          <w:u w:val="single"/>
        </w:rPr>
        <w:t xml:space="preserve">(D) The Commissioner of Agriculture may conduct hearings, make recommendations, issue orders, and adopt such rules and regulations, pursuant to §29A-1-1 </w:t>
      </w:r>
      <w:r w:rsidRPr="0026632F">
        <w:rPr>
          <w:i/>
          <w:iCs/>
          <w:u w:val="single"/>
        </w:rPr>
        <w:t>et seq.</w:t>
      </w:r>
      <w:r w:rsidRPr="00592D4F">
        <w:rPr>
          <w:u w:val="single"/>
        </w:rPr>
        <w:t xml:space="preserve"> of this code, as the commissioner determines are reasonable and necessary to accomplish the purpose and intent of this </w:t>
      </w:r>
      <w:r w:rsidR="0026632F">
        <w:rPr>
          <w:u w:val="single"/>
        </w:rPr>
        <w:t>a</w:t>
      </w:r>
      <w:r w:rsidRPr="00592D4F">
        <w:rPr>
          <w:u w:val="single"/>
        </w:rPr>
        <w:t>ct.</w:t>
      </w:r>
    </w:p>
    <w:p w14:paraId="7DE275D0" w14:textId="379CAED6" w:rsidR="003C430C" w:rsidRPr="00592D4F" w:rsidRDefault="003C430C" w:rsidP="00592D4F">
      <w:pPr>
        <w:pStyle w:val="SectionBody"/>
        <w:rPr>
          <w:u w:val="single"/>
        </w:rPr>
      </w:pPr>
      <w:r w:rsidRPr="00592D4F">
        <w:rPr>
          <w:u w:val="single"/>
        </w:rPr>
        <w:t>(E) The Commissioner of Agriculture may conduct statistical studies or surveys in order to collect data related to the existence and impact of ESG commitments or ESG policies that are related to agriculture, and may prepare and disseminate the information thus gathered, or any other information related to the existence and impact of those ESG commitments or ESG policies, in a manner of his or her choosing.</w:t>
      </w:r>
    </w:p>
    <w:p w14:paraId="10CBA7E5" w14:textId="15F7C26C" w:rsidR="003C430C" w:rsidRPr="00592D4F" w:rsidRDefault="003C430C" w:rsidP="00592D4F">
      <w:pPr>
        <w:pStyle w:val="SectionBody"/>
        <w:rPr>
          <w:u w:val="single"/>
        </w:rPr>
      </w:pPr>
      <w:r w:rsidRPr="00592D4F">
        <w:rPr>
          <w:u w:val="single"/>
        </w:rPr>
        <w:t xml:space="preserve">(c) The Commissioner of Agriculture may bring a civil action for preventive relief, including an application for a permanent or temporary injunction, restraining order, or other order as is necessary to enforce the requirements of this </w:t>
      </w:r>
      <w:r w:rsidR="0026632F">
        <w:rPr>
          <w:u w:val="single"/>
        </w:rPr>
        <w:t>a</w:t>
      </w:r>
      <w:r w:rsidRPr="00592D4F">
        <w:rPr>
          <w:u w:val="single"/>
        </w:rPr>
        <w:t>ct and</w:t>
      </w:r>
      <w:r w:rsidR="00956FCD" w:rsidRPr="00592D4F">
        <w:rPr>
          <w:u w:val="single"/>
        </w:rPr>
        <w:t xml:space="preserve"> </w:t>
      </w:r>
      <w:r w:rsidRPr="00592D4F">
        <w:rPr>
          <w:u w:val="single"/>
        </w:rPr>
        <w:t>civil penalties of up to $10,000 per violation.</w:t>
      </w:r>
    </w:p>
    <w:p w14:paraId="7BBF1010" w14:textId="507C6493" w:rsidR="00592D4F" w:rsidRPr="00592D4F" w:rsidRDefault="00592D4F" w:rsidP="00592D4F">
      <w:pPr>
        <w:pStyle w:val="SectionBody"/>
        <w:rPr>
          <w:u w:val="single"/>
        </w:rPr>
      </w:pPr>
      <w:r w:rsidRPr="00592D4F">
        <w:rPr>
          <w:u w:val="single"/>
        </w:rPr>
        <w:t xml:space="preserve">(d) This </w:t>
      </w:r>
      <w:r w:rsidR="0026632F">
        <w:rPr>
          <w:u w:val="single"/>
        </w:rPr>
        <w:t>a</w:t>
      </w:r>
      <w:r w:rsidRPr="00592D4F">
        <w:rPr>
          <w:u w:val="single"/>
        </w:rPr>
        <w:t>ct shall become effective upon passage.</w:t>
      </w:r>
    </w:p>
    <w:p w14:paraId="3FE5DF8B" w14:textId="58482D45" w:rsidR="00A258FB" w:rsidRDefault="00A258FB" w:rsidP="00A258FB">
      <w:pPr>
        <w:pStyle w:val="Note"/>
      </w:pPr>
      <w:r>
        <w:t xml:space="preserve">NOTE: The purpose of this bill is to create the </w:t>
      </w:r>
      <w:r w:rsidR="0083565F">
        <w:t>Farmer Protection</w:t>
      </w:r>
      <w:r>
        <w:t xml:space="preserve"> Act and to provide guidance for the </w:t>
      </w:r>
      <w:r w:rsidR="0026632F">
        <w:t>a</w:t>
      </w:r>
      <w:r>
        <w:t>ct's administration.</w:t>
      </w:r>
    </w:p>
    <w:p w14:paraId="6C5A8B5A" w14:textId="70BDA50B" w:rsidR="00A258FB" w:rsidRPr="00DB5068" w:rsidRDefault="00A258FB" w:rsidP="00A258FB">
      <w:pPr>
        <w:pStyle w:val="Note"/>
      </w:pPr>
      <w:r>
        <w:t>Strike-throughs indicate language that would be stricken from a heading or the present law and underscoring indicates new language that would be added.</w:t>
      </w:r>
    </w:p>
    <w:sectPr w:rsidR="00A258FB" w:rsidRPr="00DB5068" w:rsidSect="009E1BA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9913" w14:textId="77777777" w:rsidR="0013514F" w:rsidRPr="00B844FE" w:rsidRDefault="0013514F" w:rsidP="00B844FE">
      <w:r>
        <w:separator/>
      </w:r>
    </w:p>
  </w:endnote>
  <w:endnote w:type="continuationSeparator" w:id="0">
    <w:p w14:paraId="1571B964" w14:textId="77777777" w:rsidR="0013514F" w:rsidRPr="00B844FE" w:rsidRDefault="001351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81C3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3F13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F9E728"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68B4" w14:textId="6ED187A9" w:rsidR="009B03A2" w:rsidRDefault="009B03A2">
    <w:pPr>
      <w:pStyle w:val="Footer"/>
      <w:jc w:val="center"/>
    </w:pPr>
  </w:p>
  <w:p w14:paraId="0D6E0B99" w14:textId="77777777" w:rsidR="00007594" w:rsidRDefault="000075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072519"/>
      <w:docPartObj>
        <w:docPartGallery w:val="Page Numbers (Bottom of Page)"/>
        <w:docPartUnique/>
      </w:docPartObj>
    </w:sdtPr>
    <w:sdtEndPr>
      <w:rPr>
        <w:noProof/>
      </w:rPr>
    </w:sdtEndPr>
    <w:sdtContent>
      <w:p w14:paraId="005E933A" w14:textId="419D3C48" w:rsidR="009B03A2" w:rsidRDefault="009B03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ACB17" w14:textId="77777777" w:rsidR="009B03A2" w:rsidRDefault="009B03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06C2" w14:textId="77777777" w:rsidR="00EA1EA8" w:rsidRPr="00896015" w:rsidRDefault="00EA1EA8" w:rsidP="00896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18572" w14:textId="77777777" w:rsidR="0013514F" w:rsidRPr="00B844FE" w:rsidRDefault="0013514F" w:rsidP="00B844FE">
      <w:r>
        <w:separator/>
      </w:r>
    </w:p>
  </w:footnote>
  <w:footnote w:type="continuationSeparator" w:id="0">
    <w:p w14:paraId="3DF5EB38" w14:textId="77777777" w:rsidR="0013514F" w:rsidRPr="00B844FE" w:rsidRDefault="001351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2507" w14:textId="77777777" w:rsidR="002A0269" w:rsidRPr="00B844FE" w:rsidRDefault="00540184">
    <w:pPr>
      <w:pStyle w:val="Header"/>
    </w:pPr>
    <w:sdt>
      <w:sdtPr>
        <w:id w:val="-684364211"/>
        <w:placeholder>
          <w:docPart w:val="FE9770946E9C443DAF9936E3B4B48595"/>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FE9770946E9C443DAF9936E3B4B48595"/>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046C" w14:textId="73B57F41" w:rsidR="00E831B3" w:rsidRPr="00007594" w:rsidRDefault="00007594" w:rsidP="00007594">
    <w:pPr>
      <w:pStyle w:val="HeaderStyle"/>
    </w:pPr>
    <w:r w:rsidRPr="00007594">
      <w:t xml:space="preserve">Intr HB </w:t>
    </w:r>
    <w:r>
      <w:tab/>
    </w:r>
    <w:r>
      <w:tab/>
      <w:t>2025R</w:t>
    </w:r>
    <w:r w:rsidR="00956FCD">
      <w:t>2966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65CC" w14:textId="6B35A8B7" w:rsidR="00007594" w:rsidRDefault="00007594" w:rsidP="00007594">
    <w:pPr>
      <w:pStyle w:val="HeaderStyle"/>
    </w:pPr>
    <w:r>
      <w:t>Intr HB</w:t>
    </w:r>
    <w:r>
      <w:tab/>
    </w:r>
    <w:r>
      <w:tab/>
    </w:r>
    <w:sdt>
      <w:sdtPr>
        <w:alias w:val="CBD Number"/>
        <w:tag w:val="CBD Number"/>
        <w:id w:val="153889784"/>
        <w:placeholder>
          <w:docPart w:val="DefaultPlaceholder_-1854013440"/>
        </w:placeholder>
      </w:sdtPr>
      <w:sdtEndPr/>
      <w:sdtContent>
        <w:r>
          <w:t>2025R</w:t>
        </w:r>
        <w:r w:rsidR="006D54C3">
          <w:t>2966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D4819"/>
    <w:multiLevelType w:val="hybridMultilevel"/>
    <w:tmpl w:val="4C4677C6"/>
    <w:lvl w:ilvl="0" w:tplc="B0868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0826F32"/>
    <w:multiLevelType w:val="hybridMultilevel"/>
    <w:tmpl w:val="6F9E60E6"/>
    <w:lvl w:ilvl="0" w:tplc="D35063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925CBF"/>
    <w:multiLevelType w:val="hybridMultilevel"/>
    <w:tmpl w:val="CCAEC210"/>
    <w:lvl w:ilvl="0" w:tplc="25F48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5642697">
    <w:abstractNumId w:val="1"/>
  </w:num>
  <w:num w:numId="2" w16cid:durableId="154272401">
    <w:abstractNumId w:val="1"/>
  </w:num>
  <w:num w:numId="3" w16cid:durableId="1641960088">
    <w:abstractNumId w:val="2"/>
  </w:num>
  <w:num w:numId="4" w16cid:durableId="1580823706">
    <w:abstractNumId w:val="3"/>
  </w:num>
  <w:num w:numId="5" w16cid:durableId="86182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EE"/>
    <w:rsid w:val="0000526A"/>
    <w:rsid w:val="00007594"/>
    <w:rsid w:val="00007EEE"/>
    <w:rsid w:val="00036EBA"/>
    <w:rsid w:val="000834B5"/>
    <w:rsid w:val="00083F33"/>
    <w:rsid w:val="00085D22"/>
    <w:rsid w:val="000C4575"/>
    <w:rsid w:val="000C5C77"/>
    <w:rsid w:val="000F4177"/>
    <w:rsid w:val="0010070F"/>
    <w:rsid w:val="0013514F"/>
    <w:rsid w:val="0015112E"/>
    <w:rsid w:val="001552E7"/>
    <w:rsid w:val="001566B4"/>
    <w:rsid w:val="00196FCA"/>
    <w:rsid w:val="001A2705"/>
    <w:rsid w:val="001C279E"/>
    <w:rsid w:val="001D459E"/>
    <w:rsid w:val="0026632F"/>
    <w:rsid w:val="0027011C"/>
    <w:rsid w:val="00274200"/>
    <w:rsid w:val="00275740"/>
    <w:rsid w:val="002A0269"/>
    <w:rsid w:val="002B3F39"/>
    <w:rsid w:val="002C7D5E"/>
    <w:rsid w:val="002F0113"/>
    <w:rsid w:val="00302677"/>
    <w:rsid w:val="00303684"/>
    <w:rsid w:val="003143F5"/>
    <w:rsid w:val="00314854"/>
    <w:rsid w:val="003152B0"/>
    <w:rsid w:val="003202A3"/>
    <w:rsid w:val="00347B08"/>
    <w:rsid w:val="003672F1"/>
    <w:rsid w:val="003A1D9F"/>
    <w:rsid w:val="003A43C2"/>
    <w:rsid w:val="003C384D"/>
    <w:rsid w:val="003C430C"/>
    <w:rsid w:val="003C51CD"/>
    <w:rsid w:val="003C7D27"/>
    <w:rsid w:val="003D40FD"/>
    <w:rsid w:val="003E501C"/>
    <w:rsid w:val="004138CF"/>
    <w:rsid w:val="004247A2"/>
    <w:rsid w:val="0043067A"/>
    <w:rsid w:val="00446E21"/>
    <w:rsid w:val="004B2795"/>
    <w:rsid w:val="004C13DD"/>
    <w:rsid w:val="004D6FB9"/>
    <w:rsid w:val="004E3441"/>
    <w:rsid w:val="005328B7"/>
    <w:rsid w:val="00540184"/>
    <w:rsid w:val="00590339"/>
    <w:rsid w:val="00592D4F"/>
    <w:rsid w:val="00592F5D"/>
    <w:rsid w:val="005946FF"/>
    <w:rsid w:val="005A5366"/>
    <w:rsid w:val="005E3C7E"/>
    <w:rsid w:val="0060106F"/>
    <w:rsid w:val="00627C46"/>
    <w:rsid w:val="00637E73"/>
    <w:rsid w:val="006865E9"/>
    <w:rsid w:val="00691F3E"/>
    <w:rsid w:val="00694BFB"/>
    <w:rsid w:val="006A106B"/>
    <w:rsid w:val="006B43CE"/>
    <w:rsid w:val="006B4815"/>
    <w:rsid w:val="006C523D"/>
    <w:rsid w:val="006D4036"/>
    <w:rsid w:val="006D54C3"/>
    <w:rsid w:val="00727C3D"/>
    <w:rsid w:val="007358AD"/>
    <w:rsid w:val="007A3CE8"/>
    <w:rsid w:val="007C006C"/>
    <w:rsid w:val="007E02CF"/>
    <w:rsid w:val="007E1CA4"/>
    <w:rsid w:val="007F1CF5"/>
    <w:rsid w:val="00834EDE"/>
    <w:rsid w:val="0083565F"/>
    <w:rsid w:val="00872974"/>
    <w:rsid w:val="008736AA"/>
    <w:rsid w:val="008D275D"/>
    <w:rsid w:val="009023E2"/>
    <w:rsid w:val="00946FBF"/>
    <w:rsid w:val="00956FCD"/>
    <w:rsid w:val="00980327"/>
    <w:rsid w:val="00983567"/>
    <w:rsid w:val="009B03A2"/>
    <w:rsid w:val="009E1BA9"/>
    <w:rsid w:val="009F1067"/>
    <w:rsid w:val="00A02BCE"/>
    <w:rsid w:val="00A258FB"/>
    <w:rsid w:val="00A31E01"/>
    <w:rsid w:val="00A527AD"/>
    <w:rsid w:val="00A718CF"/>
    <w:rsid w:val="00AE48A0"/>
    <w:rsid w:val="00AE61BE"/>
    <w:rsid w:val="00B16F25"/>
    <w:rsid w:val="00B24422"/>
    <w:rsid w:val="00B24F9C"/>
    <w:rsid w:val="00B6717E"/>
    <w:rsid w:val="00B80C20"/>
    <w:rsid w:val="00B844FE"/>
    <w:rsid w:val="00BB5BF2"/>
    <w:rsid w:val="00BC562B"/>
    <w:rsid w:val="00BE278B"/>
    <w:rsid w:val="00C33014"/>
    <w:rsid w:val="00C33434"/>
    <w:rsid w:val="00C34869"/>
    <w:rsid w:val="00C42EB6"/>
    <w:rsid w:val="00C47028"/>
    <w:rsid w:val="00C67BF9"/>
    <w:rsid w:val="00C85096"/>
    <w:rsid w:val="00CA728E"/>
    <w:rsid w:val="00CB20EF"/>
    <w:rsid w:val="00CD12CB"/>
    <w:rsid w:val="00CD36CF"/>
    <w:rsid w:val="00CE11B0"/>
    <w:rsid w:val="00CE5BC2"/>
    <w:rsid w:val="00CF1DCA"/>
    <w:rsid w:val="00D45198"/>
    <w:rsid w:val="00D579FC"/>
    <w:rsid w:val="00D67251"/>
    <w:rsid w:val="00DB5068"/>
    <w:rsid w:val="00DE526B"/>
    <w:rsid w:val="00DF199D"/>
    <w:rsid w:val="00E01542"/>
    <w:rsid w:val="00E365F1"/>
    <w:rsid w:val="00E379D8"/>
    <w:rsid w:val="00E52CA6"/>
    <w:rsid w:val="00E57CAE"/>
    <w:rsid w:val="00E62F48"/>
    <w:rsid w:val="00E652C1"/>
    <w:rsid w:val="00E831B3"/>
    <w:rsid w:val="00E942D3"/>
    <w:rsid w:val="00EA1EA8"/>
    <w:rsid w:val="00EB56EA"/>
    <w:rsid w:val="00EE70CB"/>
    <w:rsid w:val="00F23775"/>
    <w:rsid w:val="00F33EFF"/>
    <w:rsid w:val="00F41CA2"/>
    <w:rsid w:val="00F443C0"/>
    <w:rsid w:val="00F55257"/>
    <w:rsid w:val="00F62EFB"/>
    <w:rsid w:val="00F939A4"/>
    <w:rsid w:val="00FA244E"/>
    <w:rsid w:val="00FA77B7"/>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199C1"/>
  <w15:chartTrackingRefBased/>
  <w15:docId w15:val="{C228CC31-FD3A-456F-8CE5-8F714781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A7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A728E"/>
    <w:pPr>
      <w:spacing w:line="240" w:lineRule="auto"/>
    </w:pPr>
  </w:style>
  <w:style w:type="paragraph" w:customStyle="1" w:styleId="SectionHeadingOld">
    <w:name w:val="Section Heading Old"/>
    <w:next w:val="SectionBodyOld"/>
    <w:link w:val="SectionHeadingOldChar"/>
    <w:rsid w:val="00CA728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A728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A728E"/>
    <w:rPr>
      <w:rFonts w:eastAsia="Calibri"/>
      <w:b/>
      <w:color w:val="000000"/>
    </w:rPr>
  </w:style>
  <w:style w:type="paragraph" w:customStyle="1" w:styleId="ChapterHeadingOld">
    <w:name w:val="Chapter Heading Old"/>
    <w:next w:val="ArticleHeadingOld"/>
    <w:link w:val="ChapterHeadingOldChar"/>
    <w:rsid w:val="00CA728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A728E"/>
    <w:rPr>
      <w:rFonts w:eastAsia="Calibri"/>
      <w:b/>
      <w:caps/>
      <w:color w:val="000000"/>
      <w:sz w:val="24"/>
    </w:rPr>
  </w:style>
  <w:style w:type="paragraph" w:customStyle="1" w:styleId="BillNumberOld">
    <w:name w:val="Bill Number Old"/>
    <w:next w:val="SponsorsOld"/>
    <w:link w:val="BillNumberOldChar"/>
    <w:autoRedefine/>
    <w:rsid w:val="00CA728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A728E"/>
    <w:rPr>
      <w:rFonts w:eastAsia="Calibri"/>
      <w:b/>
      <w:caps/>
      <w:color w:val="000000"/>
      <w:sz w:val="28"/>
    </w:rPr>
  </w:style>
  <w:style w:type="paragraph" w:customStyle="1" w:styleId="SponsorsOld">
    <w:name w:val="Sponsors Old"/>
    <w:next w:val="ReferencesOld"/>
    <w:link w:val="SponsorsOldChar"/>
    <w:autoRedefine/>
    <w:rsid w:val="00CA728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A728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A728E"/>
    <w:rPr>
      <w:i/>
      <w:iCs/>
      <w:color w:val="404040" w:themeColor="text1" w:themeTint="BF"/>
    </w:rPr>
  </w:style>
  <w:style w:type="paragraph" w:customStyle="1" w:styleId="NoteOld">
    <w:name w:val="Note Old"/>
    <w:basedOn w:val="NoSpacing"/>
    <w:link w:val="NoteOldChar"/>
    <w:autoRedefine/>
    <w:rsid w:val="00CA728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A728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A728E"/>
  </w:style>
  <w:style w:type="character" w:customStyle="1" w:styleId="NoteOldChar">
    <w:name w:val="Note Old Char"/>
    <w:link w:val="NoteOld"/>
    <w:rsid w:val="00CA728E"/>
    <w:rPr>
      <w:rFonts w:eastAsia="Calibri"/>
      <w:color w:val="000000"/>
      <w:sz w:val="20"/>
    </w:rPr>
  </w:style>
  <w:style w:type="paragraph" w:customStyle="1" w:styleId="TitleSectionOld">
    <w:name w:val="Title Section Old"/>
    <w:next w:val="EnactingClauseOld"/>
    <w:link w:val="TitleSectionOldChar"/>
    <w:autoRedefine/>
    <w:rsid w:val="00CA728E"/>
    <w:pPr>
      <w:pageBreakBefore/>
      <w:ind w:left="720" w:hanging="720"/>
      <w:jc w:val="both"/>
    </w:pPr>
    <w:rPr>
      <w:rFonts w:eastAsia="Calibri"/>
      <w:color w:val="000000"/>
    </w:rPr>
  </w:style>
  <w:style w:type="character" w:customStyle="1" w:styleId="SectionBodyOldChar">
    <w:name w:val="Section Body Old Char"/>
    <w:link w:val="SectionBodyOld"/>
    <w:rsid w:val="00CA728E"/>
    <w:rPr>
      <w:rFonts w:eastAsia="Calibri"/>
      <w:color w:val="000000"/>
    </w:rPr>
  </w:style>
  <w:style w:type="paragraph" w:customStyle="1" w:styleId="EnactingSectionOld">
    <w:name w:val="Enacting Section Old"/>
    <w:link w:val="EnactingSectionOldChar"/>
    <w:autoRedefine/>
    <w:rsid w:val="00CA728E"/>
    <w:pPr>
      <w:ind w:firstLine="720"/>
      <w:jc w:val="both"/>
    </w:pPr>
    <w:rPr>
      <w:rFonts w:eastAsia="Calibri"/>
      <w:color w:val="000000"/>
    </w:rPr>
  </w:style>
  <w:style w:type="character" w:customStyle="1" w:styleId="TitleSectionOldChar">
    <w:name w:val="Title Section Old Char"/>
    <w:link w:val="TitleSectionOld"/>
    <w:rsid w:val="00CA728E"/>
    <w:rPr>
      <w:rFonts w:eastAsia="Calibri"/>
      <w:color w:val="000000"/>
    </w:rPr>
  </w:style>
  <w:style w:type="paragraph" w:customStyle="1" w:styleId="PartHeadingOld">
    <w:name w:val="Part Heading Old"/>
    <w:next w:val="SectionHeadingOld"/>
    <w:link w:val="PartHeadingOldChar"/>
    <w:rsid w:val="00CA728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A728E"/>
    <w:rPr>
      <w:rFonts w:eastAsia="Calibri"/>
      <w:color w:val="000000"/>
    </w:rPr>
  </w:style>
  <w:style w:type="paragraph" w:styleId="ListParagraph">
    <w:name w:val="List Paragraph"/>
    <w:basedOn w:val="Normal"/>
    <w:uiPriority w:val="34"/>
    <w:locked/>
    <w:rsid w:val="00CA728E"/>
    <w:pPr>
      <w:ind w:left="720"/>
      <w:contextualSpacing/>
    </w:pPr>
  </w:style>
  <w:style w:type="character" w:customStyle="1" w:styleId="PartHeadingOldChar">
    <w:name w:val="Part Heading Old Char"/>
    <w:link w:val="PartHeadingOld"/>
    <w:rsid w:val="00CA728E"/>
    <w:rPr>
      <w:rFonts w:eastAsia="Calibri"/>
      <w:smallCaps/>
      <w:color w:val="000000"/>
      <w:sz w:val="24"/>
    </w:rPr>
  </w:style>
  <w:style w:type="paragraph" w:customStyle="1" w:styleId="TitlePageOriginOld">
    <w:name w:val="Title Page: Origin Old"/>
    <w:next w:val="TitlePageSessionOld"/>
    <w:link w:val="TitlePageOriginOldChar"/>
    <w:autoRedefine/>
    <w:rsid w:val="00CA728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A728E"/>
    <w:rPr>
      <w:rFonts w:eastAsia="Calibri"/>
      <w:color w:val="000000"/>
      <w:sz w:val="24"/>
    </w:rPr>
  </w:style>
  <w:style w:type="character" w:styleId="LineNumber">
    <w:name w:val="line number"/>
    <w:basedOn w:val="DefaultParagraphFont"/>
    <w:uiPriority w:val="99"/>
    <w:semiHidden/>
    <w:locked/>
    <w:rsid w:val="00CA728E"/>
  </w:style>
  <w:style w:type="paragraph" w:customStyle="1" w:styleId="EnactingClauseOld">
    <w:name w:val="Enacting Clause Old"/>
    <w:next w:val="EnactingSectionOld"/>
    <w:link w:val="EnactingClauseOldChar"/>
    <w:autoRedefine/>
    <w:rsid w:val="00CA728E"/>
    <w:pPr>
      <w:suppressLineNumbers/>
    </w:pPr>
    <w:rPr>
      <w:rFonts w:eastAsia="Calibri"/>
      <w:i/>
      <w:color w:val="000000"/>
    </w:rPr>
  </w:style>
  <w:style w:type="character" w:customStyle="1" w:styleId="SponsorsOldChar">
    <w:name w:val="Sponsors Old Char"/>
    <w:basedOn w:val="DefaultParagraphFont"/>
    <w:link w:val="SponsorsOld"/>
    <w:rsid w:val="00CA728E"/>
    <w:rPr>
      <w:rFonts w:eastAsia="Calibri"/>
      <w:smallCaps/>
      <w:color w:val="000000"/>
      <w:sz w:val="24"/>
    </w:rPr>
  </w:style>
  <w:style w:type="character" w:customStyle="1" w:styleId="EnactingClauseOldChar">
    <w:name w:val="Enacting Clause Old Char"/>
    <w:basedOn w:val="DefaultParagraphFont"/>
    <w:link w:val="EnactingClauseOld"/>
    <w:rsid w:val="00CA728E"/>
    <w:rPr>
      <w:rFonts w:eastAsia="Calibri"/>
      <w:i/>
      <w:color w:val="000000"/>
    </w:rPr>
  </w:style>
  <w:style w:type="paragraph" w:styleId="Salutation">
    <w:name w:val="Salutation"/>
    <w:basedOn w:val="Normal"/>
    <w:next w:val="Normal"/>
    <w:link w:val="SalutationChar"/>
    <w:uiPriority w:val="99"/>
    <w:semiHidden/>
    <w:locked/>
    <w:rsid w:val="00CA728E"/>
  </w:style>
  <w:style w:type="character" w:customStyle="1" w:styleId="SalutationChar">
    <w:name w:val="Salutation Char"/>
    <w:basedOn w:val="DefaultParagraphFont"/>
    <w:link w:val="Salutation"/>
    <w:uiPriority w:val="99"/>
    <w:semiHidden/>
    <w:rsid w:val="00CA728E"/>
  </w:style>
  <w:style w:type="character" w:customStyle="1" w:styleId="BillNumberOldChar">
    <w:name w:val="Bill Number Old Char"/>
    <w:basedOn w:val="DefaultParagraphFont"/>
    <w:link w:val="BillNumberOld"/>
    <w:rsid w:val="00CA728E"/>
    <w:rPr>
      <w:rFonts w:eastAsia="Calibri"/>
      <w:b/>
      <w:color w:val="000000"/>
      <w:sz w:val="44"/>
    </w:rPr>
  </w:style>
  <w:style w:type="paragraph" w:customStyle="1" w:styleId="TitlePageSessionOld">
    <w:name w:val="Title Page: Session Old"/>
    <w:next w:val="TitlePageBillPrefixOld"/>
    <w:link w:val="TitlePageSessionOldChar"/>
    <w:autoRedefine/>
    <w:rsid w:val="00CA728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A728E"/>
    <w:rPr>
      <w:rFonts w:eastAsia="Calibri"/>
      <w:b/>
      <w:caps/>
      <w:color w:val="000000"/>
      <w:sz w:val="44"/>
    </w:rPr>
  </w:style>
  <w:style w:type="paragraph" w:customStyle="1" w:styleId="TitlePageBillPrefixOld">
    <w:name w:val="Title Page: Bill Prefix Old"/>
    <w:next w:val="BillNumberOld"/>
    <w:link w:val="TitlePageBillPrefixOldChar"/>
    <w:autoRedefine/>
    <w:rsid w:val="00CA728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A728E"/>
    <w:rPr>
      <w:rFonts w:eastAsia="Calibri"/>
      <w:b/>
      <w:caps/>
      <w:color w:val="000000"/>
      <w:sz w:val="36"/>
    </w:rPr>
  </w:style>
  <w:style w:type="paragraph" w:styleId="Header">
    <w:name w:val="header"/>
    <w:basedOn w:val="Normal"/>
    <w:link w:val="HeaderChar"/>
    <w:uiPriority w:val="99"/>
    <w:semiHidden/>
    <w:rsid w:val="00CA728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A728E"/>
    <w:rPr>
      <w:rFonts w:eastAsia="Calibri"/>
      <w:b/>
      <w:color w:val="000000"/>
      <w:sz w:val="36"/>
    </w:rPr>
  </w:style>
  <w:style w:type="character" w:customStyle="1" w:styleId="HeaderChar">
    <w:name w:val="Header Char"/>
    <w:basedOn w:val="DefaultParagraphFont"/>
    <w:link w:val="Header"/>
    <w:uiPriority w:val="99"/>
    <w:semiHidden/>
    <w:rsid w:val="00CA728E"/>
  </w:style>
  <w:style w:type="paragraph" w:styleId="Footer">
    <w:name w:val="footer"/>
    <w:basedOn w:val="Normal"/>
    <w:link w:val="FooterChar"/>
    <w:uiPriority w:val="99"/>
    <w:rsid w:val="00CA728E"/>
    <w:pPr>
      <w:tabs>
        <w:tab w:val="center" w:pos="4680"/>
        <w:tab w:val="right" w:pos="9360"/>
      </w:tabs>
      <w:spacing w:line="240" w:lineRule="auto"/>
    </w:pPr>
  </w:style>
  <w:style w:type="character" w:customStyle="1" w:styleId="FooterChar">
    <w:name w:val="Footer Char"/>
    <w:basedOn w:val="DefaultParagraphFont"/>
    <w:link w:val="Footer"/>
    <w:uiPriority w:val="99"/>
    <w:rsid w:val="00CA728E"/>
  </w:style>
  <w:style w:type="character" w:styleId="PlaceholderText">
    <w:name w:val="Placeholder Text"/>
    <w:basedOn w:val="DefaultParagraphFont"/>
    <w:uiPriority w:val="99"/>
    <w:semiHidden/>
    <w:locked/>
    <w:rsid w:val="00CA728E"/>
    <w:rPr>
      <w:color w:val="808080"/>
    </w:rPr>
  </w:style>
  <w:style w:type="paragraph" w:customStyle="1" w:styleId="HeaderStyleOld">
    <w:name w:val="Header Style Old"/>
    <w:basedOn w:val="Header"/>
    <w:link w:val="HeaderStyleOldChar"/>
    <w:autoRedefine/>
    <w:rsid w:val="00CA728E"/>
    <w:rPr>
      <w:sz w:val="20"/>
      <w:szCs w:val="20"/>
    </w:rPr>
  </w:style>
  <w:style w:type="character" w:customStyle="1" w:styleId="HeaderStyleOldChar">
    <w:name w:val="Header Style Old Char"/>
    <w:basedOn w:val="HeaderChar"/>
    <w:link w:val="HeaderStyleOld"/>
    <w:rsid w:val="00CA728E"/>
    <w:rPr>
      <w:sz w:val="20"/>
      <w:szCs w:val="20"/>
    </w:rPr>
  </w:style>
  <w:style w:type="character" w:customStyle="1" w:styleId="Underline">
    <w:name w:val="Underline"/>
    <w:uiPriority w:val="1"/>
    <w:rsid w:val="00CA728E"/>
    <w:rPr>
      <w:rFonts w:ascii="Arial" w:hAnsi="Arial"/>
      <w:color w:val="auto"/>
      <w:sz w:val="22"/>
      <w:u w:val="single"/>
    </w:rPr>
  </w:style>
  <w:style w:type="paragraph" w:customStyle="1" w:styleId="ArticleHeading">
    <w:name w:val="Article Heading"/>
    <w:basedOn w:val="ArticleHeadingOld"/>
    <w:link w:val="ArticleHeadingChar"/>
    <w:qFormat/>
    <w:rsid w:val="00CA728E"/>
  </w:style>
  <w:style w:type="paragraph" w:customStyle="1" w:styleId="BillNumber">
    <w:name w:val="Bill Number"/>
    <w:basedOn w:val="BillNumberOld"/>
    <w:qFormat/>
    <w:rsid w:val="00CA728E"/>
  </w:style>
  <w:style w:type="paragraph" w:customStyle="1" w:styleId="ChapterHeading">
    <w:name w:val="Chapter Heading"/>
    <w:basedOn w:val="ChapterHeadingOld"/>
    <w:next w:val="Normal"/>
    <w:link w:val="ChapterHeadingChar"/>
    <w:qFormat/>
    <w:rsid w:val="00CA728E"/>
  </w:style>
  <w:style w:type="paragraph" w:customStyle="1" w:styleId="EnactingClause">
    <w:name w:val="Enacting Clause"/>
    <w:basedOn w:val="EnactingClauseOld"/>
    <w:qFormat/>
    <w:rsid w:val="00CA728E"/>
  </w:style>
  <w:style w:type="paragraph" w:customStyle="1" w:styleId="EnactingSection">
    <w:name w:val="Enacting Section"/>
    <w:basedOn w:val="EnactingSectionOld"/>
    <w:qFormat/>
    <w:rsid w:val="00CA728E"/>
  </w:style>
  <w:style w:type="paragraph" w:customStyle="1" w:styleId="HeaderStyle">
    <w:name w:val="Header Style"/>
    <w:basedOn w:val="HeaderStyleOld"/>
    <w:qFormat/>
    <w:rsid w:val="00CA728E"/>
  </w:style>
  <w:style w:type="paragraph" w:customStyle="1" w:styleId="Note">
    <w:name w:val="Note"/>
    <w:basedOn w:val="NoteOld"/>
    <w:qFormat/>
    <w:rsid w:val="00CA728E"/>
  </w:style>
  <w:style w:type="paragraph" w:customStyle="1" w:styleId="PartHeading">
    <w:name w:val="Part Heading"/>
    <w:basedOn w:val="PartHeadingOld"/>
    <w:qFormat/>
    <w:rsid w:val="00CA728E"/>
  </w:style>
  <w:style w:type="paragraph" w:customStyle="1" w:styleId="References">
    <w:name w:val="References"/>
    <w:basedOn w:val="ReferencesOld"/>
    <w:qFormat/>
    <w:rsid w:val="00CA728E"/>
  </w:style>
  <w:style w:type="paragraph" w:customStyle="1" w:styleId="SectionBody">
    <w:name w:val="Section Body"/>
    <w:basedOn w:val="SectionBodyOld"/>
    <w:link w:val="SectionBodyChar"/>
    <w:qFormat/>
    <w:rsid w:val="00CA728E"/>
  </w:style>
  <w:style w:type="paragraph" w:customStyle="1" w:styleId="SectionHeading">
    <w:name w:val="Section Heading"/>
    <w:basedOn w:val="SectionHeadingOld"/>
    <w:qFormat/>
    <w:rsid w:val="00CA728E"/>
  </w:style>
  <w:style w:type="paragraph" w:customStyle="1" w:styleId="Sponsors">
    <w:name w:val="Sponsors"/>
    <w:basedOn w:val="SponsorsOld"/>
    <w:qFormat/>
    <w:rsid w:val="00CA728E"/>
  </w:style>
  <w:style w:type="paragraph" w:customStyle="1" w:styleId="TitlePageBillPrefix">
    <w:name w:val="Title Page: Bill Prefix"/>
    <w:basedOn w:val="TitlePageBillPrefixOld"/>
    <w:qFormat/>
    <w:rsid w:val="00CA728E"/>
  </w:style>
  <w:style w:type="paragraph" w:customStyle="1" w:styleId="TitlePageOrigin">
    <w:name w:val="Title Page: Origin"/>
    <w:basedOn w:val="TitlePageOriginOld"/>
    <w:qFormat/>
    <w:rsid w:val="00CA728E"/>
  </w:style>
  <w:style w:type="paragraph" w:customStyle="1" w:styleId="TitlePageSession">
    <w:name w:val="Title Page: Session"/>
    <w:basedOn w:val="TitlePageSessionOld"/>
    <w:qFormat/>
    <w:rsid w:val="00CA728E"/>
  </w:style>
  <w:style w:type="paragraph" w:customStyle="1" w:styleId="TitleSection">
    <w:name w:val="Title Section"/>
    <w:basedOn w:val="TitleSectionOld"/>
    <w:qFormat/>
    <w:rsid w:val="00CA728E"/>
  </w:style>
  <w:style w:type="character" w:customStyle="1" w:styleId="Strike-Through">
    <w:name w:val="Strike-Through"/>
    <w:uiPriority w:val="1"/>
    <w:rsid w:val="00CA728E"/>
    <w:rPr>
      <w:strike/>
      <w:dstrike w:val="0"/>
      <w:color w:val="auto"/>
    </w:rPr>
  </w:style>
  <w:style w:type="paragraph" w:customStyle="1" w:styleId="ChamberTitle">
    <w:name w:val="Chamber Title"/>
    <w:next w:val="Normal"/>
    <w:link w:val="ChamberTitleChar"/>
    <w:rsid w:val="00CA728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A728E"/>
    <w:rPr>
      <w:rFonts w:eastAsia="Calibri"/>
      <w:b/>
      <w:caps/>
      <w:color w:val="000000"/>
      <w:sz w:val="36"/>
    </w:rPr>
  </w:style>
  <w:style w:type="character" w:customStyle="1" w:styleId="content">
    <w:name w:val="content"/>
    <w:basedOn w:val="DefaultParagraphFont"/>
    <w:rsid w:val="00EA1EA8"/>
  </w:style>
  <w:style w:type="character" w:customStyle="1" w:styleId="SectionBodyChar">
    <w:name w:val="Section Body Char"/>
    <w:link w:val="SectionBody"/>
    <w:rsid w:val="00EA1EA8"/>
    <w:rPr>
      <w:rFonts w:eastAsia="Calibri"/>
      <w:color w:val="000000"/>
    </w:rPr>
  </w:style>
  <w:style w:type="character" w:styleId="PageNumber">
    <w:name w:val="page number"/>
    <w:basedOn w:val="DefaultParagraphFont"/>
    <w:uiPriority w:val="99"/>
    <w:semiHidden/>
    <w:locked/>
    <w:rsid w:val="00EA1EA8"/>
  </w:style>
  <w:style w:type="character" w:customStyle="1" w:styleId="ArticleHeadingChar">
    <w:name w:val="Article Heading Char"/>
    <w:link w:val="ArticleHeading"/>
    <w:rsid w:val="00036EBA"/>
    <w:rPr>
      <w:rFonts w:eastAsia="Calibri"/>
      <w:b/>
      <w:caps/>
      <w:color w:val="000000"/>
      <w:sz w:val="24"/>
    </w:rPr>
  </w:style>
  <w:style w:type="character" w:customStyle="1" w:styleId="ChapterHeadingChar">
    <w:name w:val="Chapter Heading Char"/>
    <w:link w:val="ChapterHeading"/>
    <w:rsid w:val="00036EB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5802AA37A34266A78FDDC8938327E7"/>
        <w:category>
          <w:name w:val="General"/>
          <w:gallery w:val="placeholder"/>
        </w:category>
        <w:types>
          <w:type w:val="bbPlcHdr"/>
        </w:types>
        <w:behaviors>
          <w:behavior w:val="content"/>
        </w:behaviors>
        <w:guid w:val="{3BF0C55C-EC42-4259-9CC7-AAD45A1D6906}"/>
      </w:docPartPr>
      <w:docPartBody>
        <w:p w:rsidR="00023F45" w:rsidRDefault="00023F45">
          <w:pPr>
            <w:pStyle w:val="745802AA37A34266A78FDDC8938327E7"/>
          </w:pPr>
          <w:r w:rsidRPr="00B844FE">
            <w:t>Prefix Text</w:t>
          </w:r>
        </w:p>
      </w:docPartBody>
    </w:docPart>
    <w:docPart>
      <w:docPartPr>
        <w:name w:val="FE9770946E9C443DAF9936E3B4B48595"/>
        <w:category>
          <w:name w:val="General"/>
          <w:gallery w:val="placeholder"/>
        </w:category>
        <w:types>
          <w:type w:val="bbPlcHdr"/>
        </w:types>
        <w:behaviors>
          <w:behavior w:val="content"/>
        </w:behaviors>
        <w:guid w:val="{938BCE9A-69F3-44D7-9B16-116A88D7D711}"/>
      </w:docPartPr>
      <w:docPartBody>
        <w:p w:rsidR="00023F45" w:rsidRDefault="00023F45">
          <w:pPr>
            <w:pStyle w:val="FE9770946E9C443DAF9936E3B4B48595"/>
          </w:pPr>
          <w:r w:rsidRPr="00B844FE">
            <w:t>[Type here]</w:t>
          </w:r>
        </w:p>
      </w:docPartBody>
    </w:docPart>
    <w:docPart>
      <w:docPartPr>
        <w:name w:val="0A838BCB3C54475C8B0594CF976C50D5"/>
        <w:category>
          <w:name w:val="General"/>
          <w:gallery w:val="placeholder"/>
        </w:category>
        <w:types>
          <w:type w:val="bbPlcHdr"/>
        </w:types>
        <w:behaviors>
          <w:behavior w:val="content"/>
        </w:behaviors>
        <w:guid w:val="{BD36F55D-78B2-42F9-845F-520473C612C7}"/>
      </w:docPartPr>
      <w:docPartBody>
        <w:p w:rsidR="00023F45" w:rsidRDefault="00023F45">
          <w:pPr>
            <w:pStyle w:val="0A838BCB3C54475C8B0594CF976C50D5"/>
          </w:pPr>
          <w:r>
            <w:rPr>
              <w:rStyle w:val="PlaceholderText"/>
            </w:rPr>
            <w:t>Number</w:t>
          </w:r>
        </w:p>
      </w:docPartBody>
    </w:docPart>
    <w:docPart>
      <w:docPartPr>
        <w:name w:val="7FDC6165945440BFBA54123DDDD52714"/>
        <w:category>
          <w:name w:val="General"/>
          <w:gallery w:val="placeholder"/>
        </w:category>
        <w:types>
          <w:type w:val="bbPlcHdr"/>
        </w:types>
        <w:behaviors>
          <w:behavior w:val="content"/>
        </w:behaviors>
        <w:guid w:val="{7B32D578-DC53-4D71-AA31-DECE53F75932}"/>
      </w:docPartPr>
      <w:docPartBody>
        <w:p w:rsidR="00023F45" w:rsidRDefault="00023F45">
          <w:pPr>
            <w:pStyle w:val="7FDC6165945440BFBA54123DDDD52714"/>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5A0C747A-D62A-4CCB-B075-287D8BD3A4A1}"/>
      </w:docPartPr>
      <w:docPartBody>
        <w:p w:rsidR="006019F1" w:rsidRDefault="006019F1">
          <w:r w:rsidRPr="00C53D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45"/>
    <w:rsid w:val="00023F45"/>
    <w:rsid w:val="000834B5"/>
    <w:rsid w:val="00196FCA"/>
    <w:rsid w:val="002C7D5E"/>
    <w:rsid w:val="003D40FD"/>
    <w:rsid w:val="00446E21"/>
    <w:rsid w:val="005E3C7E"/>
    <w:rsid w:val="006019F1"/>
    <w:rsid w:val="007E1CA4"/>
    <w:rsid w:val="00872974"/>
    <w:rsid w:val="00B6717E"/>
    <w:rsid w:val="00BB6C79"/>
    <w:rsid w:val="00CE34D9"/>
    <w:rsid w:val="00D4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5802AA37A34266A78FDDC8938327E7">
    <w:name w:val="745802AA37A34266A78FDDC8938327E7"/>
  </w:style>
  <w:style w:type="paragraph" w:customStyle="1" w:styleId="FE9770946E9C443DAF9936E3B4B48595">
    <w:name w:val="FE9770946E9C443DAF9936E3B4B48595"/>
  </w:style>
  <w:style w:type="character" w:styleId="PlaceholderText">
    <w:name w:val="Placeholder Text"/>
    <w:basedOn w:val="DefaultParagraphFont"/>
    <w:uiPriority w:val="99"/>
    <w:semiHidden/>
    <w:rsid w:val="006019F1"/>
    <w:rPr>
      <w:color w:val="808080"/>
    </w:rPr>
  </w:style>
  <w:style w:type="paragraph" w:customStyle="1" w:styleId="0A838BCB3C54475C8B0594CF976C50D5">
    <w:name w:val="0A838BCB3C54475C8B0594CF976C50D5"/>
  </w:style>
  <w:style w:type="paragraph" w:customStyle="1" w:styleId="7FDC6165945440BFBA54123DDDD52714">
    <w:name w:val="7FDC6165945440BFBA54123DDDD52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3</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Sam Rowe</cp:lastModifiedBy>
  <cp:revision>2</cp:revision>
  <cp:lastPrinted>2024-02-26T23:48:00Z</cp:lastPrinted>
  <dcterms:created xsi:type="dcterms:W3CDTF">2025-02-27T19:06:00Z</dcterms:created>
  <dcterms:modified xsi:type="dcterms:W3CDTF">2025-02-27T19:06:00Z</dcterms:modified>
</cp:coreProperties>
</file>