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48F3" w14:textId="2261E80D" w:rsidR="00FE067E" w:rsidRPr="00515EE5" w:rsidRDefault="003C6034" w:rsidP="00CC1F3B">
      <w:pPr>
        <w:pStyle w:val="TitlePageOrigin"/>
        <w:rPr>
          <w:color w:val="auto"/>
        </w:rPr>
      </w:pPr>
      <w:r w:rsidRPr="00515EE5">
        <w:rPr>
          <w:caps w:val="0"/>
          <w:color w:val="auto"/>
        </w:rPr>
        <w:t>WEST VIRGINIA LEGISLATURE</w:t>
      </w:r>
    </w:p>
    <w:p w14:paraId="46F97568" w14:textId="77777777" w:rsidR="00CD36CF" w:rsidRPr="00515EE5" w:rsidRDefault="00CD36CF" w:rsidP="00CC1F3B">
      <w:pPr>
        <w:pStyle w:val="TitlePageSession"/>
        <w:rPr>
          <w:color w:val="auto"/>
        </w:rPr>
      </w:pPr>
      <w:r w:rsidRPr="00515EE5">
        <w:rPr>
          <w:color w:val="auto"/>
        </w:rPr>
        <w:t>20</w:t>
      </w:r>
      <w:r w:rsidR="00EC5E63" w:rsidRPr="00515EE5">
        <w:rPr>
          <w:color w:val="auto"/>
        </w:rPr>
        <w:t>2</w:t>
      </w:r>
      <w:r w:rsidR="00211F02" w:rsidRPr="00515EE5">
        <w:rPr>
          <w:color w:val="auto"/>
        </w:rPr>
        <w:t>5</w:t>
      </w:r>
      <w:r w:rsidRPr="00515EE5">
        <w:rPr>
          <w:color w:val="auto"/>
        </w:rPr>
        <w:t xml:space="preserve"> </w:t>
      </w:r>
      <w:r w:rsidR="003C6034" w:rsidRPr="00515EE5">
        <w:rPr>
          <w:caps w:val="0"/>
          <w:color w:val="auto"/>
        </w:rPr>
        <w:t>REGULAR SESSION</w:t>
      </w:r>
    </w:p>
    <w:p w14:paraId="6B19FC88" w14:textId="24D0EB94" w:rsidR="00CD36CF" w:rsidRPr="00515EE5" w:rsidRDefault="00DD225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1FEA8489A7431F9FDEF875889FD431"/>
          </w:placeholder>
          <w:text/>
        </w:sdtPr>
        <w:sdtEndPr/>
        <w:sdtContent>
          <w:r w:rsidR="00131E3E" w:rsidRPr="00515EE5">
            <w:rPr>
              <w:color w:val="auto"/>
            </w:rPr>
            <w:t>Enrolled</w:t>
          </w:r>
        </w:sdtContent>
      </w:sdt>
    </w:p>
    <w:p w14:paraId="5EF9E0DF" w14:textId="60ADEF7D" w:rsidR="00CD36CF" w:rsidRPr="00515EE5" w:rsidRDefault="00DD225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19758B7F5F44E1FAD1A80780392B95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31A10" w:rsidRPr="00515EE5">
            <w:rPr>
              <w:color w:val="auto"/>
            </w:rPr>
            <w:t>Senate</w:t>
          </w:r>
        </w:sdtContent>
      </w:sdt>
      <w:r w:rsidR="00303684" w:rsidRPr="00515EE5">
        <w:rPr>
          <w:color w:val="auto"/>
        </w:rPr>
        <w:t xml:space="preserve"> </w:t>
      </w:r>
      <w:r w:rsidR="00CD36CF" w:rsidRPr="00515EE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6DC8AD03716470C8D2E4E29D63B5E8E"/>
          </w:placeholder>
          <w:text/>
        </w:sdtPr>
        <w:sdtEndPr/>
        <w:sdtContent>
          <w:r w:rsidR="00435514" w:rsidRPr="00515EE5">
            <w:rPr>
              <w:color w:val="auto"/>
            </w:rPr>
            <w:t>291</w:t>
          </w:r>
        </w:sdtContent>
      </w:sdt>
    </w:p>
    <w:p w14:paraId="3334A168" w14:textId="7367D31E" w:rsidR="00CD36CF" w:rsidRPr="00515EE5" w:rsidRDefault="00CD36CF" w:rsidP="00CC1F3B">
      <w:pPr>
        <w:pStyle w:val="Sponsors"/>
        <w:rPr>
          <w:color w:val="auto"/>
        </w:rPr>
      </w:pPr>
      <w:r w:rsidRPr="00515EE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2BD3F3827F0424C892B8699AF99EBDD"/>
          </w:placeholder>
          <w:text w:multiLine="1"/>
        </w:sdtPr>
        <w:sdtEndPr/>
        <w:sdtContent>
          <w:r w:rsidR="001239D7" w:rsidRPr="00515EE5">
            <w:rPr>
              <w:color w:val="auto"/>
            </w:rPr>
            <w:t>Senator</w:t>
          </w:r>
          <w:r w:rsidR="00F0366A" w:rsidRPr="00515EE5">
            <w:rPr>
              <w:color w:val="auto"/>
            </w:rPr>
            <w:t>s</w:t>
          </w:r>
          <w:r w:rsidR="001239D7" w:rsidRPr="00515EE5">
            <w:rPr>
              <w:color w:val="auto"/>
            </w:rPr>
            <w:t xml:space="preserve"> Chapman</w:t>
          </w:r>
        </w:sdtContent>
      </w:sdt>
      <w:r w:rsidR="000162F3" w:rsidRPr="00515EE5">
        <w:rPr>
          <w:color w:val="auto"/>
        </w:rPr>
        <w:t xml:space="preserve"> and Deeds</w:t>
      </w:r>
    </w:p>
    <w:p w14:paraId="5696C1DC" w14:textId="4CEDFAD1" w:rsidR="005102A9" w:rsidRPr="00515EE5" w:rsidRDefault="00CD36CF" w:rsidP="00CC1F3B">
      <w:pPr>
        <w:pStyle w:val="References"/>
        <w:rPr>
          <w:color w:val="auto"/>
        </w:rPr>
        <w:sectPr w:rsidR="005102A9" w:rsidRPr="00515EE5" w:rsidSect="004B26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15EE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85D676C4E7742EA9FAD7D280170B43E"/>
          </w:placeholder>
          <w:text w:multiLine="1"/>
        </w:sdtPr>
        <w:sdtEndPr/>
        <w:sdtContent>
          <w:r w:rsidR="00131E3E" w:rsidRPr="00515EE5">
            <w:rPr>
              <w:color w:val="auto"/>
            </w:rPr>
            <w:t xml:space="preserve">Passed March 14, 2025; </w:t>
          </w:r>
          <w:r w:rsidR="00131E3E" w:rsidRPr="00515EE5">
            <w:rPr>
              <w:color w:val="auto"/>
            </w:rPr>
            <w:br/>
            <w:t>in effect 90 days from passage</w:t>
          </w:r>
        </w:sdtContent>
      </w:sdt>
      <w:r w:rsidR="00DD2257">
        <w:rPr>
          <w:color w:val="auto"/>
        </w:rPr>
        <w:t xml:space="preserve"> (June 12, 2025)</w:t>
      </w:r>
      <w:r w:rsidRPr="00515EE5">
        <w:rPr>
          <w:color w:val="auto"/>
        </w:rPr>
        <w:t>]</w:t>
      </w:r>
    </w:p>
    <w:p w14:paraId="0520D6D2" w14:textId="409DCD9F" w:rsidR="00E831B3" w:rsidRPr="00515EE5" w:rsidRDefault="00E831B3" w:rsidP="00CC1F3B">
      <w:pPr>
        <w:pStyle w:val="References"/>
        <w:rPr>
          <w:color w:val="auto"/>
        </w:rPr>
      </w:pPr>
    </w:p>
    <w:p w14:paraId="57DDE711" w14:textId="5EBF1E98" w:rsidR="00303684" w:rsidRPr="00515EE5" w:rsidRDefault="004B266B" w:rsidP="005102A9">
      <w:pPr>
        <w:pStyle w:val="TitleSection"/>
        <w:rPr>
          <w:color w:val="auto"/>
        </w:rPr>
      </w:pPr>
      <w:r w:rsidRPr="00515EE5">
        <w:rPr>
          <w:color w:val="auto"/>
        </w:rPr>
        <w:lastRenderedPageBreak/>
        <w:t>A</w:t>
      </w:r>
      <w:r w:rsidR="0088300A" w:rsidRPr="00515EE5">
        <w:rPr>
          <w:color w:val="auto"/>
        </w:rPr>
        <w:t>N ACT</w:t>
      </w:r>
      <w:r w:rsidRPr="00515EE5">
        <w:rPr>
          <w:color w:val="auto"/>
        </w:rPr>
        <w:t xml:space="preserve"> to amend and reenact §30-5-22 of the Code of West Virginia, 1931, </w:t>
      </w:r>
      <w:r w:rsidR="00131E3E" w:rsidRPr="00515EE5">
        <w:rPr>
          <w:color w:val="auto"/>
        </w:rPr>
        <w:t xml:space="preserve">as amended, </w:t>
      </w:r>
      <w:r w:rsidRPr="00515EE5">
        <w:rPr>
          <w:color w:val="auto"/>
        </w:rPr>
        <w:t xml:space="preserve">relating to registration of pharmacies; </w:t>
      </w:r>
      <w:r w:rsidR="00435514" w:rsidRPr="00515EE5">
        <w:rPr>
          <w:color w:val="auto"/>
        </w:rPr>
        <w:t xml:space="preserve">and </w:t>
      </w:r>
      <w:r w:rsidRPr="00515EE5">
        <w:rPr>
          <w:color w:val="auto"/>
        </w:rPr>
        <w:t>extending time</w:t>
      </w:r>
      <w:r w:rsidR="00435514" w:rsidRPr="00515EE5">
        <w:rPr>
          <w:color w:val="auto"/>
        </w:rPr>
        <w:t xml:space="preserve"> </w:t>
      </w:r>
      <w:r w:rsidRPr="00515EE5">
        <w:rPr>
          <w:color w:val="auto"/>
        </w:rPr>
        <w:t>frame for pharmacies to register from annually to biennially.</w:t>
      </w:r>
    </w:p>
    <w:p w14:paraId="6CEDC53B" w14:textId="70FD5BB7" w:rsidR="004B266B" w:rsidRPr="00515EE5" w:rsidRDefault="00303684" w:rsidP="005102A9">
      <w:pPr>
        <w:pStyle w:val="EnactingClause"/>
        <w:rPr>
          <w:i w:val="0"/>
          <w:iCs/>
          <w:color w:val="auto"/>
        </w:rPr>
      </w:pPr>
      <w:r w:rsidRPr="00515EE5">
        <w:rPr>
          <w:color w:val="auto"/>
        </w:rPr>
        <w:t>Be it enacted by the Legislature of West Virginia:</w:t>
      </w:r>
    </w:p>
    <w:p w14:paraId="147BB715" w14:textId="77777777" w:rsidR="004B266B" w:rsidRPr="00515EE5" w:rsidRDefault="004B266B" w:rsidP="005102A9">
      <w:pPr>
        <w:pStyle w:val="EnactingClause"/>
        <w:rPr>
          <w:i w:val="0"/>
          <w:iCs/>
          <w:color w:val="auto"/>
        </w:rPr>
        <w:sectPr w:rsidR="004B266B" w:rsidRPr="00515EE5" w:rsidSect="005102A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9F69371" w14:textId="2EC5D78D" w:rsidR="004B266B" w:rsidRPr="00515EE5" w:rsidRDefault="004B266B" w:rsidP="005102A9">
      <w:pPr>
        <w:pStyle w:val="ArticleHeading"/>
        <w:widowControl/>
        <w:rPr>
          <w:i/>
          <w:iCs/>
          <w:color w:val="auto"/>
        </w:rPr>
      </w:pPr>
      <w:r w:rsidRPr="00515EE5">
        <w:rPr>
          <w:color w:val="auto"/>
        </w:rPr>
        <w:t>ARTICLE 5. PHARMACISTS, PHARMACY TECHNICIANS, PHARMACY INTERNS AND PHARMACIES.</w:t>
      </w:r>
    </w:p>
    <w:p w14:paraId="638334D5" w14:textId="77777777" w:rsidR="004B266B" w:rsidRPr="00515EE5" w:rsidRDefault="004B266B" w:rsidP="005102A9">
      <w:pPr>
        <w:pStyle w:val="EnactingClause"/>
        <w:rPr>
          <w:i w:val="0"/>
          <w:iCs/>
          <w:color w:val="auto"/>
        </w:rPr>
        <w:sectPr w:rsidR="004B266B" w:rsidRPr="00515EE5" w:rsidSect="004B266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FA1E45" w14:textId="77777777" w:rsidR="004B266B" w:rsidRPr="00515EE5" w:rsidRDefault="004B266B" w:rsidP="005102A9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</w:pPr>
      <w:r w:rsidRPr="00515EE5">
        <w:rPr>
          <w:rFonts w:cs="Arial"/>
          <w:b/>
          <w:color w:val="auto"/>
        </w:rPr>
        <w:t>§30-5-22. Pharmacies to be registered.</w:t>
      </w:r>
    </w:p>
    <w:p w14:paraId="1D681376" w14:textId="77777777" w:rsidR="004B266B" w:rsidRPr="00515EE5" w:rsidRDefault="004B266B" w:rsidP="005102A9">
      <w:pPr>
        <w:ind w:left="720" w:hanging="720"/>
        <w:jc w:val="both"/>
        <w:outlineLvl w:val="3"/>
        <w:rPr>
          <w:rFonts w:cs="Arial"/>
          <w:b/>
          <w:color w:val="auto"/>
        </w:rPr>
        <w:sectPr w:rsidR="004B266B" w:rsidRPr="00515EE5" w:rsidSect="004B266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BF59E7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(a) A pharmacy, an ambulatory health care facility, and a charitable clinic pharmacy shall register with the board.</w:t>
      </w:r>
    </w:p>
    <w:p w14:paraId="13E8CA10" w14:textId="734E7C69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(b) A person desiring to operate, maintain, open</w:t>
      </w:r>
      <w:r w:rsidR="00DA1667" w:rsidRPr="00515EE5">
        <w:rPr>
          <w:rFonts w:cs="Arial"/>
          <w:color w:val="auto"/>
        </w:rPr>
        <w:t>,</w:t>
      </w:r>
      <w:r w:rsidRPr="00515EE5">
        <w:rPr>
          <w:rFonts w:cs="Arial"/>
          <w:color w:val="auto"/>
        </w:rPr>
        <w:t xml:space="preserve"> or establish a pharmacy shall register with the board.</w:t>
      </w:r>
    </w:p>
    <w:p w14:paraId="649C84CD" w14:textId="4BD803F5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 xml:space="preserve">(c) To be eligible for </w:t>
      </w:r>
      <w:proofErr w:type="gramStart"/>
      <w:r w:rsidRPr="00515EE5">
        <w:rPr>
          <w:rFonts w:cs="Arial"/>
          <w:color w:val="auto"/>
        </w:rPr>
        <w:t>a registration</w:t>
      </w:r>
      <w:proofErr w:type="gramEnd"/>
      <w:r w:rsidRPr="00515EE5">
        <w:rPr>
          <w:rFonts w:cs="Arial"/>
          <w:color w:val="auto"/>
        </w:rPr>
        <w:t xml:space="preserve"> to operate, maintain, open</w:t>
      </w:r>
      <w:r w:rsidR="00DA1667" w:rsidRPr="00515EE5">
        <w:rPr>
          <w:rFonts w:cs="Arial"/>
          <w:color w:val="auto"/>
        </w:rPr>
        <w:t>,</w:t>
      </w:r>
      <w:r w:rsidRPr="00515EE5">
        <w:rPr>
          <w:rFonts w:cs="Arial"/>
          <w:color w:val="auto"/>
        </w:rPr>
        <w:t xml:space="preserve"> or establish a pharmacy the applicant shall:</w:t>
      </w:r>
    </w:p>
    <w:p w14:paraId="639FA721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(1) Submit a written application to the board;</w:t>
      </w:r>
    </w:p>
    <w:p w14:paraId="7EDB8416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(2) Pay all applicable fees;</w:t>
      </w:r>
    </w:p>
    <w:p w14:paraId="46673DCC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(3) Designate a pharmacist-in-charge; and</w:t>
      </w:r>
    </w:p>
    <w:p w14:paraId="01BA940E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(4) Successfully complete an inspection by the board.</w:t>
      </w:r>
    </w:p>
    <w:p w14:paraId="6DCE8180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 xml:space="preserve">(d) A separate application shall be made and separate </w:t>
      </w:r>
      <w:proofErr w:type="gramStart"/>
      <w:r w:rsidRPr="00515EE5">
        <w:rPr>
          <w:rFonts w:cs="Arial"/>
          <w:color w:val="auto"/>
        </w:rPr>
        <w:t>registration</w:t>
      </w:r>
      <w:proofErr w:type="gramEnd"/>
      <w:r w:rsidRPr="00515EE5">
        <w:rPr>
          <w:rFonts w:cs="Arial"/>
          <w:color w:val="auto"/>
        </w:rPr>
        <w:t xml:space="preserve"> issued for each location.</w:t>
      </w:r>
    </w:p>
    <w:p w14:paraId="264AEFFC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(e) Registration is not transferable.</w:t>
      </w:r>
    </w:p>
    <w:p w14:paraId="23E550EB" w14:textId="3381478A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(f) Registration expire</w:t>
      </w:r>
      <w:r w:rsidR="00DA1667" w:rsidRPr="00515EE5">
        <w:rPr>
          <w:rFonts w:cs="Arial"/>
          <w:color w:val="auto"/>
        </w:rPr>
        <w:t>s</w:t>
      </w:r>
      <w:r w:rsidRPr="00515EE5">
        <w:rPr>
          <w:rFonts w:cs="Arial"/>
          <w:color w:val="auto"/>
        </w:rPr>
        <w:t xml:space="preserve"> and shall be renewed biennially.</w:t>
      </w:r>
    </w:p>
    <w:p w14:paraId="2F5E0DF4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 xml:space="preserve">(g) If a registration expires, the pharmacy shall be </w:t>
      </w:r>
      <w:proofErr w:type="gramStart"/>
      <w:r w:rsidRPr="00515EE5">
        <w:rPr>
          <w:rFonts w:cs="Arial"/>
          <w:color w:val="auto"/>
        </w:rPr>
        <w:t>reinspected</w:t>
      </w:r>
      <w:proofErr w:type="gramEnd"/>
      <w:r w:rsidRPr="00515EE5">
        <w:rPr>
          <w:rFonts w:cs="Arial"/>
          <w:color w:val="auto"/>
        </w:rPr>
        <w:t xml:space="preserve"> and an inspection fee is required.</w:t>
      </w:r>
    </w:p>
    <w:p w14:paraId="464A2787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(h) A registrant shall employ a pharmacist-in-charge and operate in compliance with the legislative rules governing the practice of pharmacist care and the operation of a pharmacy.</w:t>
      </w:r>
    </w:p>
    <w:p w14:paraId="25DB3060" w14:textId="77777777" w:rsidR="004B266B" w:rsidRPr="00515EE5" w:rsidRDefault="004B266B" w:rsidP="005102A9">
      <w:pPr>
        <w:ind w:firstLine="720"/>
        <w:jc w:val="both"/>
        <w:rPr>
          <w:rFonts w:cs="Arial"/>
          <w:color w:val="auto"/>
        </w:rPr>
      </w:pPr>
      <w:r w:rsidRPr="00515EE5">
        <w:rPr>
          <w:rFonts w:cs="Arial"/>
          <w:color w:val="auto"/>
        </w:rPr>
        <w:t>(i) The provisions of this section do not apply to the sale of nonprescription drugs which are not required to be dispensed pursuant to a practitioner’s prescription.</w:t>
      </w:r>
    </w:p>
    <w:p w14:paraId="360CBB9F" w14:textId="77777777" w:rsidR="00DD2257" w:rsidRDefault="004B266B" w:rsidP="00DD2257">
      <w:pPr>
        <w:ind w:firstLine="720"/>
        <w:jc w:val="both"/>
        <w:rPr>
          <w:rFonts w:cs="Arial"/>
          <w:color w:val="auto"/>
        </w:rPr>
        <w:sectPr w:rsidR="00DD2257" w:rsidSect="00DD22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515EE5">
        <w:rPr>
          <w:rFonts w:cs="Arial"/>
          <w:color w:val="auto"/>
        </w:rPr>
        <w:t>(j) The provisions of this section do not apply to the sale or distribution of dialysate, drugs</w:t>
      </w:r>
      <w:r w:rsidR="00DA1667" w:rsidRPr="00515EE5">
        <w:rPr>
          <w:rFonts w:cs="Arial"/>
          <w:color w:val="auto"/>
        </w:rPr>
        <w:t>,</w:t>
      </w:r>
      <w:r w:rsidRPr="00515EE5">
        <w:rPr>
          <w:rFonts w:cs="Arial"/>
          <w:color w:val="auto"/>
        </w:rPr>
        <w:t xml:space="preserve"> or devices necessary to perform home peritoneal renal dialysis to patients with end state renal disease, provided the requirements of §30-5-29 of this code are met.</w:t>
      </w:r>
    </w:p>
    <w:p w14:paraId="21F104B1" w14:textId="77777777" w:rsidR="00DD2257" w:rsidRPr="006239C4" w:rsidRDefault="00DD2257" w:rsidP="00DD2257">
      <w:pPr>
        <w:pStyle w:val="BlockText"/>
      </w:pPr>
      <w:r w:rsidRPr="006239C4"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64DB412" w14:textId="77777777" w:rsidR="00DD2257" w:rsidRPr="006239C4" w:rsidRDefault="00DD2257" w:rsidP="00DD2257">
      <w:pPr>
        <w:spacing w:line="240" w:lineRule="auto"/>
        <w:ind w:left="720" w:right="720"/>
        <w:rPr>
          <w:rFonts w:cs="Arial"/>
        </w:rPr>
      </w:pPr>
    </w:p>
    <w:p w14:paraId="5E01F21A" w14:textId="77777777" w:rsidR="00DD2257" w:rsidRPr="006239C4" w:rsidRDefault="00DD2257" w:rsidP="00DD2257">
      <w:pPr>
        <w:spacing w:line="240" w:lineRule="auto"/>
        <w:ind w:left="720" w:right="720"/>
        <w:rPr>
          <w:rFonts w:cs="Arial"/>
        </w:rPr>
      </w:pPr>
    </w:p>
    <w:p w14:paraId="0BB1A7F0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9846985" w14:textId="77777777" w:rsidR="00DD2257" w:rsidRPr="006239C4" w:rsidRDefault="00DD2257" w:rsidP="00DD2257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27D0EA29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4B3EE61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5CCBDA7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A949546" w14:textId="77777777" w:rsidR="00DD2257" w:rsidRPr="006239C4" w:rsidRDefault="00DD2257" w:rsidP="00DD2257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12F5D99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1266EC8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A74AAFA" w14:textId="77777777" w:rsidR="00DD2257" w:rsidRDefault="00DD2257" w:rsidP="00DD225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CFF4C3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3CEDC2AB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51EE32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90 days from</w:t>
      </w:r>
      <w:r w:rsidRPr="006239C4">
        <w:rPr>
          <w:rFonts w:cs="Arial"/>
        </w:rPr>
        <w:t xml:space="preserve"> passage.</w:t>
      </w:r>
    </w:p>
    <w:p w14:paraId="4A2B9FFF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A5DD72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42D0FCB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FC3AD1E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0D557F3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39BEF73" w14:textId="77777777" w:rsidR="00DD2257" w:rsidRPr="006239C4" w:rsidRDefault="00DD2257" w:rsidP="00DD2257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203DF761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480D99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3E5363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111EEA3" w14:textId="77777777" w:rsidR="00DD2257" w:rsidRPr="006239C4" w:rsidRDefault="00DD2257" w:rsidP="00DD2257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7FC8562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D95D3DA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7ED099C" w14:textId="77777777" w:rsidR="00DD2257" w:rsidRPr="006239C4" w:rsidRDefault="00DD2257" w:rsidP="00DD2257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B96525D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0E2B42E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4272AA5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D9BBEEE" w14:textId="77777777" w:rsidR="00DD2257" w:rsidRPr="006239C4" w:rsidRDefault="00DD2257" w:rsidP="00DD225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AF872C6" w14:textId="77777777" w:rsidR="00DD2257" w:rsidRPr="006239C4" w:rsidRDefault="00DD2257" w:rsidP="00DD2257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857E641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7F291AA9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6F0B76F" w14:textId="77777777" w:rsidR="00DD2257" w:rsidRPr="006239C4" w:rsidRDefault="00DD2257" w:rsidP="00DD2257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BBA08D9" w14:textId="77777777" w:rsidR="00DD2257" w:rsidRPr="006239C4" w:rsidRDefault="00DD2257" w:rsidP="00DD2257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1729A4D" w14:textId="58AF1D17" w:rsidR="00C33014" w:rsidRPr="00515EE5" w:rsidRDefault="00DD2257" w:rsidP="00DD2257">
      <w:pPr>
        <w:pStyle w:val="SectionBody"/>
        <w:widowControl/>
        <w:spacing w:line="456" w:lineRule="auto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C33014" w:rsidRPr="00515EE5" w:rsidSect="00DD2257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78B3" w14:textId="77777777" w:rsidR="001239D7" w:rsidRPr="00B844FE" w:rsidRDefault="001239D7" w:rsidP="00B844FE">
      <w:r>
        <w:separator/>
      </w:r>
    </w:p>
  </w:endnote>
  <w:endnote w:type="continuationSeparator" w:id="0">
    <w:p w14:paraId="54076AE9" w14:textId="77777777" w:rsidR="001239D7" w:rsidRPr="00B844FE" w:rsidRDefault="001239D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24E2EF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C6D7D5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0587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84911" w14:textId="18EFFAB8" w:rsidR="004B266B" w:rsidRDefault="004B26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68F1" w14:textId="77777777" w:rsidR="00DD2257" w:rsidRDefault="00DD2257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F20B6B4" w14:textId="77777777" w:rsidR="00DD2257" w:rsidRPr="00775992" w:rsidRDefault="00DD2257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1AE0" w14:textId="77777777" w:rsidR="001239D7" w:rsidRPr="00B844FE" w:rsidRDefault="001239D7" w:rsidP="00B844FE">
      <w:r>
        <w:separator/>
      </w:r>
    </w:p>
  </w:footnote>
  <w:footnote w:type="continuationSeparator" w:id="0">
    <w:p w14:paraId="3BC460EE" w14:textId="77777777" w:rsidR="001239D7" w:rsidRPr="00B844FE" w:rsidRDefault="001239D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10D7" w14:textId="77777777" w:rsidR="002A0269" w:rsidRPr="00B844FE" w:rsidRDefault="00DD2257">
    <w:pPr>
      <w:pStyle w:val="Header"/>
    </w:pPr>
    <w:sdt>
      <w:sdtPr>
        <w:id w:val="-684364211"/>
        <w:placeholder>
          <w:docPart w:val="F19758B7F5F44E1FAD1A80780392B9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9758B7F5F44E1FAD1A80780392B95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E21B" w14:textId="53362B53" w:rsidR="00C33014" w:rsidRPr="00686E9A" w:rsidRDefault="00131E3E" w:rsidP="000573A9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239D7">
      <w:rPr>
        <w:sz w:val="22"/>
        <w:szCs w:val="22"/>
      </w:rPr>
      <w:t>SB</w:t>
    </w:r>
    <w:r w:rsidR="00435514">
      <w:rPr>
        <w:sz w:val="22"/>
        <w:szCs w:val="22"/>
      </w:rPr>
      <w:t xml:space="preserve"> 291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DA1667">
          <w:rPr>
            <w:sz w:val="22"/>
            <w:szCs w:val="22"/>
          </w:rPr>
          <w:t xml:space="preserve">     </w:t>
        </w:r>
      </w:sdtContent>
    </w:sdt>
  </w:p>
  <w:p w14:paraId="076FFB0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60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3D0B" w14:textId="77777777" w:rsidR="00DD2257" w:rsidRPr="00775992" w:rsidRDefault="00DD2257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7"/>
    <w:rsid w:val="0000526A"/>
    <w:rsid w:val="000162F3"/>
    <w:rsid w:val="000573A9"/>
    <w:rsid w:val="0007120E"/>
    <w:rsid w:val="00085D22"/>
    <w:rsid w:val="00093AB0"/>
    <w:rsid w:val="000C5C77"/>
    <w:rsid w:val="000E3912"/>
    <w:rsid w:val="0010070F"/>
    <w:rsid w:val="001239D7"/>
    <w:rsid w:val="00131E3E"/>
    <w:rsid w:val="0015112E"/>
    <w:rsid w:val="001552E7"/>
    <w:rsid w:val="001566B4"/>
    <w:rsid w:val="00172105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A5727"/>
    <w:rsid w:val="002A716B"/>
    <w:rsid w:val="002D619D"/>
    <w:rsid w:val="00303684"/>
    <w:rsid w:val="003143F5"/>
    <w:rsid w:val="00314854"/>
    <w:rsid w:val="00394191"/>
    <w:rsid w:val="003C51CD"/>
    <w:rsid w:val="003C6034"/>
    <w:rsid w:val="00400B5C"/>
    <w:rsid w:val="00410F43"/>
    <w:rsid w:val="00435514"/>
    <w:rsid w:val="004368E0"/>
    <w:rsid w:val="004432FD"/>
    <w:rsid w:val="00444FA8"/>
    <w:rsid w:val="004B266B"/>
    <w:rsid w:val="004C13DD"/>
    <w:rsid w:val="004D3ABE"/>
    <w:rsid w:val="004D7260"/>
    <w:rsid w:val="004E3441"/>
    <w:rsid w:val="00500579"/>
    <w:rsid w:val="005102A9"/>
    <w:rsid w:val="00515EE5"/>
    <w:rsid w:val="0053759A"/>
    <w:rsid w:val="005A5366"/>
    <w:rsid w:val="005B4DDD"/>
    <w:rsid w:val="006369EB"/>
    <w:rsid w:val="00637E73"/>
    <w:rsid w:val="00652662"/>
    <w:rsid w:val="006865E9"/>
    <w:rsid w:val="00686E9A"/>
    <w:rsid w:val="00691F3E"/>
    <w:rsid w:val="00694BFB"/>
    <w:rsid w:val="006A106B"/>
    <w:rsid w:val="006C523D"/>
    <w:rsid w:val="006D4036"/>
    <w:rsid w:val="00724B08"/>
    <w:rsid w:val="00795227"/>
    <w:rsid w:val="007A5259"/>
    <w:rsid w:val="007A7081"/>
    <w:rsid w:val="007B6F36"/>
    <w:rsid w:val="007D0B26"/>
    <w:rsid w:val="007F1CF5"/>
    <w:rsid w:val="007F38F7"/>
    <w:rsid w:val="00834EDE"/>
    <w:rsid w:val="00871BD4"/>
    <w:rsid w:val="008736AA"/>
    <w:rsid w:val="0088300A"/>
    <w:rsid w:val="008D275D"/>
    <w:rsid w:val="00931A10"/>
    <w:rsid w:val="00946186"/>
    <w:rsid w:val="00965799"/>
    <w:rsid w:val="00980327"/>
    <w:rsid w:val="00986478"/>
    <w:rsid w:val="009B5557"/>
    <w:rsid w:val="009F1067"/>
    <w:rsid w:val="00A00356"/>
    <w:rsid w:val="00A31E01"/>
    <w:rsid w:val="00A527AD"/>
    <w:rsid w:val="00A718CF"/>
    <w:rsid w:val="00AA069B"/>
    <w:rsid w:val="00AE48A0"/>
    <w:rsid w:val="00AE54C8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57BD9"/>
    <w:rsid w:val="00D81C16"/>
    <w:rsid w:val="00DA1667"/>
    <w:rsid w:val="00DD2257"/>
    <w:rsid w:val="00DE526B"/>
    <w:rsid w:val="00DF199D"/>
    <w:rsid w:val="00E01542"/>
    <w:rsid w:val="00E0701B"/>
    <w:rsid w:val="00E07EEA"/>
    <w:rsid w:val="00E324BB"/>
    <w:rsid w:val="00E365F1"/>
    <w:rsid w:val="00E368F2"/>
    <w:rsid w:val="00E47490"/>
    <w:rsid w:val="00E62F48"/>
    <w:rsid w:val="00E831B3"/>
    <w:rsid w:val="00E95FBC"/>
    <w:rsid w:val="00EA1638"/>
    <w:rsid w:val="00EC5E63"/>
    <w:rsid w:val="00EE1325"/>
    <w:rsid w:val="00EE70CB"/>
    <w:rsid w:val="00F0366A"/>
    <w:rsid w:val="00F119E5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AF61"/>
  <w15:chartTrackingRefBased/>
  <w15:docId w15:val="{28093579-6ABB-4AFF-BCD0-1F9371CB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B266B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DD2257"/>
  </w:style>
  <w:style w:type="character" w:customStyle="1" w:styleId="SectionBodyChar">
    <w:name w:val="Section Body Char"/>
    <w:link w:val="SectionBody"/>
    <w:rsid w:val="00DD2257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DD2257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FEA8489A7431F9FDEF875889FD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360DC-BA42-4511-9650-3773AEE29101}"/>
      </w:docPartPr>
      <w:docPartBody>
        <w:p w:rsidR="00CF4925" w:rsidRDefault="00CF4925">
          <w:pPr>
            <w:pStyle w:val="681FEA8489A7431F9FDEF875889FD431"/>
          </w:pPr>
          <w:r w:rsidRPr="00B844FE">
            <w:t>Prefix Text</w:t>
          </w:r>
        </w:p>
      </w:docPartBody>
    </w:docPart>
    <w:docPart>
      <w:docPartPr>
        <w:name w:val="F19758B7F5F44E1FAD1A80780392B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593C6-BB8A-4BDE-8C5C-790A809A9251}"/>
      </w:docPartPr>
      <w:docPartBody>
        <w:p w:rsidR="00CF4925" w:rsidRDefault="00CF4925">
          <w:pPr>
            <w:pStyle w:val="F19758B7F5F44E1FAD1A80780392B959"/>
          </w:pPr>
          <w:r w:rsidRPr="00B844FE">
            <w:t>[Type here]</w:t>
          </w:r>
        </w:p>
      </w:docPartBody>
    </w:docPart>
    <w:docPart>
      <w:docPartPr>
        <w:name w:val="06DC8AD03716470C8D2E4E29D63B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1AD5-7018-43E7-AF73-ADFCBE2A997A}"/>
      </w:docPartPr>
      <w:docPartBody>
        <w:p w:rsidR="00CF4925" w:rsidRDefault="00CF4925">
          <w:pPr>
            <w:pStyle w:val="06DC8AD03716470C8D2E4E29D63B5E8E"/>
          </w:pPr>
          <w:r w:rsidRPr="00B844FE">
            <w:t>Number</w:t>
          </w:r>
        </w:p>
      </w:docPartBody>
    </w:docPart>
    <w:docPart>
      <w:docPartPr>
        <w:name w:val="52BD3F3827F0424C892B8699AF99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E3B77-AF7A-4657-AE88-289AF4F052C8}"/>
      </w:docPartPr>
      <w:docPartBody>
        <w:p w:rsidR="00CF4925" w:rsidRDefault="00CF4925">
          <w:pPr>
            <w:pStyle w:val="52BD3F3827F0424C892B8699AF99EBDD"/>
          </w:pPr>
          <w:r w:rsidRPr="00B844FE">
            <w:t>Enter Sponsors Here</w:t>
          </w:r>
        </w:p>
      </w:docPartBody>
    </w:docPart>
    <w:docPart>
      <w:docPartPr>
        <w:name w:val="185D676C4E7742EA9FAD7D280170B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CE43-3CBD-40F9-97B4-2AB72DAE849A}"/>
      </w:docPartPr>
      <w:docPartBody>
        <w:p w:rsidR="00CF4925" w:rsidRDefault="00CF4925">
          <w:pPr>
            <w:pStyle w:val="185D676C4E7742EA9FAD7D280170B43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25"/>
    <w:rsid w:val="00172105"/>
    <w:rsid w:val="002A5727"/>
    <w:rsid w:val="002A716B"/>
    <w:rsid w:val="00410F43"/>
    <w:rsid w:val="00652662"/>
    <w:rsid w:val="00724B08"/>
    <w:rsid w:val="007B6F36"/>
    <w:rsid w:val="007D0B26"/>
    <w:rsid w:val="00871BD4"/>
    <w:rsid w:val="00A00356"/>
    <w:rsid w:val="00CF4925"/>
    <w:rsid w:val="00E07EEA"/>
    <w:rsid w:val="00E3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1FEA8489A7431F9FDEF875889FD431">
    <w:name w:val="681FEA8489A7431F9FDEF875889FD431"/>
  </w:style>
  <w:style w:type="paragraph" w:customStyle="1" w:styleId="F19758B7F5F44E1FAD1A80780392B959">
    <w:name w:val="F19758B7F5F44E1FAD1A80780392B959"/>
  </w:style>
  <w:style w:type="paragraph" w:customStyle="1" w:styleId="06DC8AD03716470C8D2E4E29D63B5E8E">
    <w:name w:val="06DC8AD03716470C8D2E4E29D63B5E8E"/>
  </w:style>
  <w:style w:type="paragraph" w:customStyle="1" w:styleId="52BD3F3827F0424C892B8699AF99EBDD">
    <w:name w:val="52BD3F3827F0424C892B8699AF99EBD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5D676C4E7742EA9FAD7D280170B43E">
    <w:name w:val="185D676C4E7742EA9FAD7D280170B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5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Debra Rayhill</cp:lastModifiedBy>
  <cp:revision>6</cp:revision>
  <cp:lastPrinted>2025-02-21T19:29:00Z</cp:lastPrinted>
  <dcterms:created xsi:type="dcterms:W3CDTF">2025-02-21T19:29:00Z</dcterms:created>
  <dcterms:modified xsi:type="dcterms:W3CDTF">2025-03-14T19:18:00Z</dcterms:modified>
</cp:coreProperties>
</file>