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222E" w14:textId="77777777" w:rsidR="00FE067E" w:rsidRDefault="00CD36CF" w:rsidP="00EF6030">
      <w:pPr>
        <w:pStyle w:val="TitlePageOrigin"/>
      </w:pPr>
      <w:r>
        <w:t>WEST virginia legislature</w:t>
      </w:r>
    </w:p>
    <w:p w14:paraId="58910E0F" w14:textId="77777777" w:rsidR="00CD36CF" w:rsidRDefault="00CD36CF" w:rsidP="00EF6030">
      <w:pPr>
        <w:pStyle w:val="TitlePageSession"/>
      </w:pPr>
      <w:r>
        <w:t>20</w:t>
      </w:r>
      <w:r w:rsidR="006565E8">
        <w:t>2</w:t>
      </w:r>
      <w:r w:rsidR="00AE27A7">
        <w:t>5</w:t>
      </w:r>
      <w:r>
        <w:t xml:space="preserve"> regular session</w:t>
      </w:r>
    </w:p>
    <w:p w14:paraId="4FD53D00" w14:textId="77777777" w:rsidR="00CD36CF" w:rsidRDefault="006F48A7" w:rsidP="00EF6030">
      <w:pPr>
        <w:pStyle w:val="TitlePageBillPrefix"/>
      </w:pPr>
      <w:sdt>
        <w:sdtPr>
          <w:tag w:val="IntroDate"/>
          <w:id w:val="-1236936958"/>
          <w:placeholder>
            <w:docPart w:val="79B2E5ABCE214EC695917D1844DE22B5"/>
          </w:placeholder>
          <w:text/>
        </w:sdtPr>
        <w:sdtEndPr/>
        <w:sdtContent>
          <w:r w:rsidR="00AC3B58">
            <w:t>Committee Substitute</w:t>
          </w:r>
        </w:sdtContent>
      </w:sdt>
    </w:p>
    <w:p w14:paraId="429203E3" w14:textId="77777777" w:rsidR="00AC3B58" w:rsidRPr="00AC3B58" w:rsidRDefault="00AC3B58" w:rsidP="00EF6030">
      <w:pPr>
        <w:pStyle w:val="TitlePageBillPrefix"/>
      </w:pPr>
      <w:r>
        <w:t>for</w:t>
      </w:r>
    </w:p>
    <w:p w14:paraId="76AC01F7" w14:textId="77777777" w:rsidR="00CD36CF" w:rsidRDefault="006F48A7" w:rsidP="00EF6030">
      <w:pPr>
        <w:pStyle w:val="BillNumber"/>
      </w:pPr>
      <w:sdt>
        <w:sdtPr>
          <w:tag w:val="Chamber"/>
          <w:id w:val="893011969"/>
          <w:lock w:val="sdtLocked"/>
          <w:placeholder>
            <w:docPart w:val="B3B17E3A3FD74DE59EA23E4973AE2793"/>
          </w:placeholder>
          <w:dropDownList>
            <w:listItem w:displayText="House" w:value="House"/>
            <w:listItem w:displayText="Senate" w:value="Senate"/>
          </w:dropDownList>
        </w:sdtPr>
        <w:sdtEndPr/>
        <w:sdtContent>
          <w:r w:rsidR="001E370D">
            <w:t>Senate</w:t>
          </w:r>
        </w:sdtContent>
      </w:sdt>
      <w:r w:rsidR="00303684">
        <w:t xml:space="preserve"> </w:t>
      </w:r>
      <w:r w:rsidR="00CD36CF">
        <w:t xml:space="preserve">Bill </w:t>
      </w:r>
      <w:sdt>
        <w:sdtPr>
          <w:tag w:val="BNum"/>
          <w:id w:val="1645317809"/>
          <w:lock w:val="sdtLocked"/>
          <w:placeholder>
            <w:docPart w:val="3A92487F7A4A4B9BB30E4E12BA6AFC1D"/>
          </w:placeholder>
          <w:text/>
        </w:sdtPr>
        <w:sdtEndPr/>
        <w:sdtContent>
          <w:r w:rsidR="001E370D" w:rsidRPr="001E370D">
            <w:t>529</w:t>
          </w:r>
        </w:sdtContent>
      </w:sdt>
    </w:p>
    <w:p w14:paraId="3FD44D27" w14:textId="77777777" w:rsidR="001E370D" w:rsidRDefault="001E370D" w:rsidP="00EF6030">
      <w:pPr>
        <w:pStyle w:val="References"/>
        <w:rPr>
          <w:smallCaps/>
        </w:rPr>
      </w:pPr>
      <w:r>
        <w:rPr>
          <w:smallCaps/>
        </w:rPr>
        <w:t>By Senator Weld</w:t>
      </w:r>
    </w:p>
    <w:p w14:paraId="598A93DC" w14:textId="77777777" w:rsidR="00D53090" w:rsidRDefault="00CD36CF" w:rsidP="00EF6030">
      <w:pPr>
        <w:pStyle w:val="References"/>
        <w:sectPr w:rsidR="00D53090" w:rsidSect="001E370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F30D83F332343BD96915A43487052A8"/>
          </w:placeholder>
          <w:text/>
        </w:sdtPr>
        <w:sdtEndPr/>
        <w:sdtContent>
          <w:r w:rsidR="003B6C7F">
            <w:t>March 25, 2025</w:t>
          </w:r>
        </w:sdtContent>
      </w:sdt>
      <w:r w:rsidR="00EC1FC5">
        <w:t xml:space="preserve">, from the Committee on </w:t>
      </w:r>
      <w:sdt>
        <w:sdtPr>
          <w:tag w:val="References"/>
          <w:id w:val="-1043047873"/>
          <w:placeholder>
            <w:docPart w:val="029C2125A8CE41C1A2B6C02E391DC72E"/>
          </w:placeholder>
          <w:text w:multiLine="1"/>
        </w:sdtPr>
        <w:sdtEndPr/>
        <w:sdtContent>
          <w:r w:rsidR="003B6C7F">
            <w:t>Education</w:t>
          </w:r>
        </w:sdtContent>
      </w:sdt>
      <w:r>
        <w:t>]</w:t>
      </w:r>
    </w:p>
    <w:p w14:paraId="4EA0A4B6" w14:textId="2D775B67" w:rsidR="001E370D" w:rsidRDefault="001E370D" w:rsidP="00EF6030">
      <w:pPr>
        <w:pStyle w:val="References"/>
      </w:pPr>
    </w:p>
    <w:p w14:paraId="03DBC844" w14:textId="77777777" w:rsidR="001E370D" w:rsidRDefault="001E370D" w:rsidP="001E370D">
      <w:pPr>
        <w:pStyle w:val="TitlePageOrigin"/>
      </w:pPr>
    </w:p>
    <w:p w14:paraId="219E8CA1" w14:textId="77777777" w:rsidR="001E370D" w:rsidRPr="001845CF" w:rsidRDefault="001E370D" w:rsidP="001E370D">
      <w:pPr>
        <w:pStyle w:val="TitlePageOrigin"/>
        <w:rPr>
          <w:color w:val="auto"/>
        </w:rPr>
      </w:pPr>
    </w:p>
    <w:p w14:paraId="5A85D19B" w14:textId="7F442C19" w:rsidR="001E370D" w:rsidRPr="001845CF" w:rsidRDefault="001E370D" w:rsidP="00D53090">
      <w:pPr>
        <w:pStyle w:val="TitleSection"/>
        <w:rPr>
          <w:color w:val="auto"/>
        </w:rPr>
      </w:pPr>
      <w:r w:rsidRPr="001845CF">
        <w:rPr>
          <w:color w:val="auto"/>
        </w:rPr>
        <w:lastRenderedPageBreak/>
        <w:t xml:space="preserve">A BILL to amend and reenact §18-5-19d of the Code of West Virginia, 1931, as amended, relating to </w:t>
      </w:r>
      <w:r w:rsidR="001F5554">
        <w:rPr>
          <w:color w:val="auto"/>
        </w:rPr>
        <w:t>changing the</w:t>
      </w:r>
      <w:r w:rsidRPr="001845CF">
        <w:rPr>
          <w:color w:val="auto"/>
        </w:rPr>
        <w:t xml:space="preserve"> minimum amount of insurance that county boards of education must maintain</w:t>
      </w:r>
      <w:r w:rsidR="009A104C">
        <w:rPr>
          <w:color w:val="auto"/>
        </w:rPr>
        <w:t xml:space="preserve"> in order for the specified limitation of liability to apply</w:t>
      </w:r>
      <w:r w:rsidR="001F5554">
        <w:rPr>
          <w:color w:val="auto"/>
        </w:rPr>
        <w:t>; and requiring that the insurance purchased be obtained from a company licensed to do business in this state</w:t>
      </w:r>
      <w:r w:rsidRPr="001845CF">
        <w:rPr>
          <w:color w:val="auto"/>
        </w:rPr>
        <w:t>.</w:t>
      </w:r>
    </w:p>
    <w:p w14:paraId="5AC70E55" w14:textId="77777777" w:rsidR="001E370D" w:rsidRPr="001845CF" w:rsidRDefault="001E370D" w:rsidP="00D53090">
      <w:pPr>
        <w:pStyle w:val="EnactingClause"/>
        <w:rPr>
          <w:color w:val="auto"/>
        </w:rPr>
      </w:pPr>
      <w:r w:rsidRPr="001845CF">
        <w:rPr>
          <w:color w:val="auto"/>
        </w:rPr>
        <w:t>Be it enacted by the Legislature of West Virginia:</w:t>
      </w:r>
    </w:p>
    <w:p w14:paraId="217DC9B8" w14:textId="77777777" w:rsidR="001E370D" w:rsidRPr="001845CF" w:rsidRDefault="001E370D" w:rsidP="00D53090">
      <w:pPr>
        <w:pStyle w:val="EnactingClause"/>
        <w:rPr>
          <w:color w:val="auto"/>
        </w:rPr>
        <w:sectPr w:rsidR="001E370D" w:rsidRPr="001845CF" w:rsidSect="00D53090">
          <w:pgSz w:w="12240" w:h="15840" w:code="1"/>
          <w:pgMar w:top="1440" w:right="1440" w:bottom="1440" w:left="1440" w:header="720" w:footer="720" w:gutter="0"/>
          <w:lnNumType w:countBy="1" w:restart="newSection"/>
          <w:pgNumType w:start="0"/>
          <w:cols w:space="720"/>
          <w:titlePg/>
          <w:docGrid w:linePitch="360"/>
        </w:sectPr>
      </w:pPr>
    </w:p>
    <w:p w14:paraId="13BF1508" w14:textId="77777777" w:rsidR="001E370D" w:rsidRPr="001845CF" w:rsidRDefault="001E370D" w:rsidP="00D53090">
      <w:pPr>
        <w:pStyle w:val="ArticleHeading"/>
        <w:widowControl/>
        <w:rPr>
          <w:color w:val="auto"/>
        </w:rPr>
        <w:sectPr w:rsidR="001E370D" w:rsidRPr="001845CF" w:rsidSect="001E370D">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article 5. County Board of Education.</w:t>
      </w:r>
    </w:p>
    <w:p w14:paraId="249699AB" w14:textId="77777777" w:rsidR="001E370D" w:rsidRPr="001845CF" w:rsidRDefault="001E370D" w:rsidP="00D53090">
      <w:pPr>
        <w:pStyle w:val="SectionHeading"/>
        <w:widowControl/>
        <w:rPr>
          <w:color w:val="auto"/>
        </w:rPr>
        <w:sectPr w:rsidR="001E370D" w:rsidRPr="001845CF" w:rsidSect="001E370D">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§18-5-19d. Conditional immunity from liability for community activities; liability insurance; authority of State Board of Risk and Insurance Management.</w:t>
      </w:r>
    </w:p>
    <w:p w14:paraId="4091ECB8" w14:textId="77777777" w:rsidR="001E370D" w:rsidRPr="001845CF" w:rsidRDefault="001E370D" w:rsidP="00D53090">
      <w:pPr>
        <w:pStyle w:val="SectionBody"/>
        <w:widowControl/>
        <w:rPr>
          <w:color w:val="auto"/>
        </w:rPr>
      </w:pPr>
      <w:r w:rsidRPr="001845CF">
        <w:rPr>
          <w:color w:val="auto"/>
        </w:rPr>
        <w:t>(a)(1) If the requirements of this subsection are met, the board of education is not liable under any theory of vicarious or imputed liability for the acts or omissions of:</w:t>
      </w:r>
    </w:p>
    <w:p w14:paraId="39332024" w14:textId="2B734AF9" w:rsidR="001E370D" w:rsidRPr="001845CF" w:rsidRDefault="001E370D" w:rsidP="00D53090">
      <w:pPr>
        <w:pStyle w:val="SectionBody"/>
        <w:widowControl/>
        <w:rPr>
          <w:color w:val="auto"/>
        </w:rPr>
      </w:pPr>
      <w:r w:rsidRPr="001845CF">
        <w:rPr>
          <w:color w:val="auto"/>
        </w:rPr>
        <w:t>(A) Any person, organization</w:t>
      </w:r>
      <w:r w:rsidR="00A469EF">
        <w:rPr>
          <w:color w:val="auto"/>
        </w:rPr>
        <w:t>,</w:t>
      </w:r>
      <w:r w:rsidRPr="001845CF">
        <w:rPr>
          <w:color w:val="auto"/>
        </w:rPr>
        <w:t xml:space="preserve"> or association using school property for a community activity described in </w:t>
      </w:r>
      <w:r w:rsidR="00A469EF">
        <w:rPr>
          <w:color w:val="auto"/>
        </w:rPr>
        <w:t xml:space="preserve">§18-5-19 </w:t>
      </w:r>
      <w:r w:rsidRPr="001845CF">
        <w:rPr>
          <w:color w:val="auto"/>
        </w:rPr>
        <w:t xml:space="preserve">of this </w:t>
      </w:r>
      <w:r w:rsidR="00A469EF">
        <w:rPr>
          <w:color w:val="auto"/>
        </w:rPr>
        <w:t>cod</w:t>
      </w:r>
      <w:r w:rsidRPr="001845CF">
        <w:rPr>
          <w:color w:val="auto"/>
        </w:rPr>
        <w:t>e;</w:t>
      </w:r>
    </w:p>
    <w:p w14:paraId="7964E1FC" w14:textId="5D8AB413" w:rsidR="001E370D" w:rsidRPr="001845CF" w:rsidRDefault="001E370D" w:rsidP="00D53090">
      <w:pPr>
        <w:pStyle w:val="SectionBody"/>
        <w:widowControl/>
        <w:rPr>
          <w:color w:val="auto"/>
        </w:rPr>
      </w:pPr>
      <w:r w:rsidRPr="001845CF">
        <w:rPr>
          <w:color w:val="auto"/>
        </w:rPr>
        <w:t>(B) Any member, employee</w:t>
      </w:r>
      <w:r w:rsidR="00A469EF">
        <w:rPr>
          <w:color w:val="auto"/>
        </w:rPr>
        <w:t>,</w:t>
      </w:r>
      <w:r w:rsidRPr="001845CF">
        <w:rPr>
          <w:color w:val="auto"/>
        </w:rPr>
        <w:t xml:space="preserve"> or agent of such person, organization</w:t>
      </w:r>
      <w:r w:rsidR="00A469EF">
        <w:rPr>
          <w:color w:val="auto"/>
        </w:rPr>
        <w:t>,</w:t>
      </w:r>
      <w:r w:rsidRPr="001845CF">
        <w:rPr>
          <w:color w:val="auto"/>
        </w:rPr>
        <w:t xml:space="preserve"> or association; or</w:t>
      </w:r>
    </w:p>
    <w:p w14:paraId="2E3E89BE" w14:textId="77777777" w:rsidR="001E370D" w:rsidRPr="001845CF" w:rsidRDefault="001E370D" w:rsidP="00D53090">
      <w:pPr>
        <w:pStyle w:val="SectionBody"/>
        <w:widowControl/>
        <w:rPr>
          <w:color w:val="auto"/>
        </w:rPr>
      </w:pPr>
      <w:r w:rsidRPr="001845CF">
        <w:rPr>
          <w:color w:val="auto"/>
        </w:rPr>
        <w:t>(C) Any person attending or participating in the community activity other than an employee of the board while acting within the scope of employment.</w:t>
      </w:r>
    </w:p>
    <w:p w14:paraId="303707FB" w14:textId="77777777" w:rsidR="001E370D" w:rsidRPr="001845CF" w:rsidRDefault="001E370D" w:rsidP="00D53090">
      <w:pPr>
        <w:pStyle w:val="SectionBody"/>
        <w:widowControl/>
        <w:rPr>
          <w:color w:val="auto"/>
        </w:rPr>
      </w:pPr>
      <w:r w:rsidRPr="001845CF">
        <w:rPr>
          <w:color w:val="auto"/>
        </w:rPr>
        <w:t>(2) The limitation of liability extended the board of education pursuant to this subsection does not apply unless:</w:t>
      </w:r>
    </w:p>
    <w:p w14:paraId="4A39E660" w14:textId="78DF72D0" w:rsidR="001E370D" w:rsidRPr="001845CF" w:rsidRDefault="001E370D" w:rsidP="00D53090">
      <w:pPr>
        <w:pStyle w:val="SectionBody"/>
        <w:widowControl/>
        <w:rPr>
          <w:color w:val="auto"/>
        </w:rPr>
      </w:pPr>
      <w:r w:rsidRPr="001845CF">
        <w:rPr>
          <w:color w:val="auto"/>
        </w:rPr>
        <w:t>(A) The person, organization</w:t>
      </w:r>
      <w:r w:rsidR="00A469EF">
        <w:rPr>
          <w:color w:val="auto"/>
        </w:rPr>
        <w:t>,</w:t>
      </w:r>
      <w:r w:rsidRPr="001845CF">
        <w:rPr>
          <w:color w:val="auto"/>
        </w:rPr>
        <w:t xml:space="preserve"> or association using school property for a community activity has in effect, at the time of the act or omission described in subdivision (1) of this subsection, a contract of insurance which provides general comprehensive liability coverage of any claim, demand, action, suit</w:t>
      </w:r>
      <w:r w:rsidR="00A469EF">
        <w:rPr>
          <w:color w:val="auto"/>
        </w:rPr>
        <w:t>,</w:t>
      </w:r>
      <w:r w:rsidRPr="001845CF">
        <w:rPr>
          <w:color w:val="auto"/>
        </w:rPr>
        <w:t xml:space="preserve"> or judgment by reason of alleged negligence or other acts resulting in bodily injury or property damage to any person arising out of the use of school property for a community activity described in subdivision (1) of this subsection;</w:t>
      </w:r>
    </w:p>
    <w:p w14:paraId="2A47C193" w14:textId="5569501D" w:rsidR="001E370D" w:rsidRPr="001845CF" w:rsidRDefault="001E370D" w:rsidP="00D53090">
      <w:pPr>
        <w:pStyle w:val="SectionBody"/>
        <w:widowControl/>
        <w:rPr>
          <w:color w:val="auto"/>
        </w:rPr>
      </w:pPr>
      <w:r w:rsidRPr="001845CF">
        <w:rPr>
          <w:color w:val="auto"/>
        </w:rPr>
        <w:t>(B) The contract of insurance provides for the payment of any attorney fees, court costs</w:t>
      </w:r>
      <w:r w:rsidR="00A469EF">
        <w:rPr>
          <w:color w:val="auto"/>
        </w:rPr>
        <w:t>,</w:t>
      </w:r>
      <w:r w:rsidRPr="001845CF">
        <w:rPr>
          <w:color w:val="auto"/>
        </w:rPr>
        <w:t xml:space="preserve"> and other litigation expenses incurred by the board in connection with any claim, demand, action, suit</w:t>
      </w:r>
      <w:r w:rsidR="00A469EF">
        <w:rPr>
          <w:color w:val="auto"/>
        </w:rPr>
        <w:t>,</w:t>
      </w:r>
      <w:r w:rsidRPr="001845CF">
        <w:rPr>
          <w:color w:val="auto"/>
        </w:rPr>
        <w:t xml:space="preserve"> or judgment arising from such alleged negligence or other act; and</w:t>
      </w:r>
    </w:p>
    <w:p w14:paraId="1DD9EFEF" w14:textId="77777777" w:rsidR="001E370D" w:rsidRPr="001845CF" w:rsidRDefault="001E370D" w:rsidP="00D53090">
      <w:pPr>
        <w:pStyle w:val="SectionBody"/>
        <w:widowControl/>
        <w:rPr>
          <w:color w:val="auto"/>
        </w:rPr>
      </w:pPr>
      <w:r w:rsidRPr="001845CF">
        <w:rPr>
          <w:color w:val="auto"/>
        </w:rPr>
        <w:lastRenderedPageBreak/>
        <w:t xml:space="preserve">(C) </w:t>
      </w:r>
      <w:r w:rsidRPr="001845CF">
        <w:rPr>
          <w:strike/>
          <w:color w:val="auto"/>
        </w:rPr>
        <w:t>The insurance coverage is in the amounts specified in the provisions of section five-a, article twelve, chapter twenty-nine of this code.</w:t>
      </w:r>
      <w:r w:rsidRPr="001845CF">
        <w:rPr>
          <w:color w:val="auto"/>
        </w:rPr>
        <w:t xml:space="preserve"> </w:t>
      </w:r>
      <w:r w:rsidRPr="001845CF">
        <w:rPr>
          <w:color w:val="auto"/>
          <w:u w:val="single"/>
        </w:rPr>
        <w:t>Liability insurance coverage in an amount of not less than $1 million for each occurrence as well as excess coverage of at least $5 million for each occurrence. Any insurance purchased under this section shall be obtained from a company licensed to do business in this state.</w:t>
      </w:r>
    </w:p>
    <w:p w14:paraId="4CD65AE5" w14:textId="63955EC8" w:rsidR="001E370D" w:rsidRPr="001845CF" w:rsidRDefault="001E370D" w:rsidP="00D53090">
      <w:pPr>
        <w:pStyle w:val="SectionBody"/>
        <w:widowControl/>
        <w:rPr>
          <w:color w:val="auto"/>
        </w:rPr>
      </w:pPr>
      <w:r w:rsidRPr="001845CF">
        <w:rPr>
          <w:color w:val="auto"/>
        </w:rPr>
        <w:t>(3)(A) The insurance described in subdivision (2) of this subsection may be obtained privately or may be obtained pursuant to the provisions of this subdivision. If requested by any person, organization</w:t>
      </w:r>
      <w:r w:rsidR="00A469EF">
        <w:rPr>
          <w:color w:val="auto"/>
        </w:rPr>
        <w:t>,</w:t>
      </w:r>
      <w:r w:rsidRPr="001845CF">
        <w:rPr>
          <w:color w:val="auto"/>
        </w:rPr>
        <w:t xml:space="preserve"> or association seeking such insurance coverage, the State Board of Risk and Insurance Management is authorized to provide such insurance and to enter into any necessary contract of insurance to further the intent of this subdivision.</w:t>
      </w:r>
    </w:p>
    <w:p w14:paraId="5669F070" w14:textId="5EFD8D0D" w:rsidR="001E370D" w:rsidRPr="001845CF" w:rsidRDefault="001E370D" w:rsidP="00D53090">
      <w:pPr>
        <w:pStyle w:val="SectionBody"/>
        <w:widowControl/>
        <w:rPr>
          <w:color w:val="auto"/>
        </w:rPr>
      </w:pPr>
      <w:r w:rsidRPr="001845CF">
        <w:rPr>
          <w:color w:val="auto"/>
        </w:rPr>
        <w:t xml:space="preserve">(B) Where provided by the State Board of Risk and Insurance Management, the cost of the insurance, as determined by </w:t>
      </w:r>
      <w:r w:rsidRPr="001845CF">
        <w:rPr>
          <w:strike/>
          <w:color w:val="auto"/>
        </w:rPr>
        <w:t>the</w:t>
      </w:r>
      <w:r w:rsidRPr="001845CF">
        <w:rPr>
          <w:color w:val="auto"/>
        </w:rPr>
        <w:t xml:space="preserve"> such board, shall be paid by the person, organization</w:t>
      </w:r>
      <w:r w:rsidR="00A469EF">
        <w:rPr>
          <w:color w:val="auto"/>
        </w:rPr>
        <w:t>,</w:t>
      </w:r>
      <w:r w:rsidRPr="001845CF">
        <w:rPr>
          <w:color w:val="auto"/>
        </w:rPr>
        <w:t xml:space="preserve"> or association and may include administrative expenses. All funds received by such board shall be deposited with the West Virginia Board of Investments for investment purposes.</w:t>
      </w:r>
    </w:p>
    <w:p w14:paraId="3939CC15" w14:textId="77777777" w:rsidR="001E370D" w:rsidRPr="001845CF" w:rsidRDefault="001E370D" w:rsidP="00D53090">
      <w:pPr>
        <w:pStyle w:val="SectionBody"/>
        <w:widowControl/>
        <w:rPr>
          <w:color w:val="auto"/>
        </w:rPr>
      </w:pPr>
      <w:r w:rsidRPr="001845CF">
        <w:rPr>
          <w:color w:val="auto"/>
        </w:rPr>
        <w:t>(C) The State Board of Risk and Insurance Management is hereby authorized and empowered to negotiate and effect settlement of any and all claims covered by the insurance provided by such board pursuant to this subdivision to the extent the board is authorized and empowered to negotiate and effect settlement of claims described in §29-12-5 of this code.</w:t>
      </w:r>
    </w:p>
    <w:p w14:paraId="795721D5" w14:textId="1072A2A2" w:rsidR="001E370D" w:rsidRPr="001845CF" w:rsidRDefault="001E370D" w:rsidP="00D53090">
      <w:pPr>
        <w:pStyle w:val="SectionBody"/>
        <w:widowControl/>
        <w:rPr>
          <w:color w:val="auto"/>
        </w:rPr>
      </w:pPr>
      <w:r w:rsidRPr="001845CF">
        <w:rPr>
          <w:color w:val="auto"/>
        </w:rPr>
        <w:t>(4) As used in this subsection, "organization" or "association" means a bona fide, not for profit, tax-exempt, benevolent, educational, philanthropic, humane, patriotic, civic, eleemosynary, incorporated or unincorporated association or organization or a rescue unit or other similar volunteer community service organization or association, but does not include any nonprofit association or organization, whether incorporated or not, which is organized primarily for the purposes of influencing legislation or advocating or opposing the nomination, election</w:t>
      </w:r>
      <w:r w:rsidR="00A469EF">
        <w:rPr>
          <w:color w:val="auto"/>
        </w:rPr>
        <w:t>,</w:t>
      </w:r>
      <w:r w:rsidRPr="001845CF">
        <w:rPr>
          <w:color w:val="auto"/>
        </w:rPr>
        <w:t xml:space="preserve"> or defeat of any candidate, or the passage or defeat of any issue, thing</w:t>
      </w:r>
      <w:r w:rsidR="00A469EF">
        <w:rPr>
          <w:color w:val="auto"/>
        </w:rPr>
        <w:t>,</w:t>
      </w:r>
      <w:r w:rsidRPr="001845CF">
        <w:rPr>
          <w:color w:val="auto"/>
        </w:rPr>
        <w:t xml:space="preserve"> or item to be voted upon.</w:t>
      </w:r>
    </w:p>
    <w:p w14:paraId="1EB9F146" w14:textId="77777777" w:rsidR="001E370D" w:rsidRPr="001845CF" w:rsidRDefault="001E370D" w:rsidP="00D53090">
      <w:pPr>
        <w:pStyle w:val="SectionBody"/>
        <w:widowControl/>
        <w:rPr>
          <w:color w:val="auto"/>
        </w:rPr>
      </w:pPr>
      <w:r w:rsidRPr="001845CF">
        <w:rPr>
          <w:color w:val="auto"/>
        </w:rPr>
        <w:lastRenderedPageBreak/>
        <w:t>(b) In addition to the liability protection for organized use outlined in this section, county boards are not liable for any loss or injury arising from the use of school property made available for unorganized recreation. County boards are liable for their acts or omissions which constitute gross negligence or willful and wanton conduct which is the proximate cause of injury or property damage.</w:t>
      </w:r>
    </w:p>
    <w:p w14:paraId="13E6A6E4" w14:textId="46BE2834" w:rsidR="00E831B3" w:rsidRDefault="001E370D" w:rsidP="00D53090">
      <w:pPr>
        <w:pStyle w:val="SectionBody"/>
        <w:widowControl/>
      </w:pPr>
      <w:r w:rsidRPr="001845CF">
        <w:rPr>
          <w:color w:val="auto"/>
        </w:rPr>
        <w:t>(c) Nothing in this section shall affect the rights, duties, defenses, immunities</w:t>
      </w:r>
      <w:r w:rsidR="00A469EF">
        <w:rPr>
          <w:color w:val="auto"/>
        </w:rPr>
        <w:t>,</w:t>
      </w:r>
      <w:r w:rsidRPr="001845CF">
        <w:rPr>
          <w:color w:val="auto"/>
        </w:rPr>
        <w:t xml:space="preserve"> or causes of action under other statutes or the common law of this state which may be applicable to boards of education.</w:t>
      </w:r>
    </w:p>
    <w:sectPr w:rsidR="00E831B3" w:rsidSect="001E37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C71D" w14:textId="77777777" w:rsidR="0029526D" w:rsidRPr="00B844FE" w:rsidRDefault="0029526D" w:rsidP="00B844FE">
      <w:r>
        <w:separator/>
      </w:r>
    </w:p>
  </w:endnote>
  <w:endnote w:type="continuationSeparator" w:id="0">
    <w:p w14:paraId="28B70951" w14:textId="77777777" w:rsidR="0029526D" w:rsidRPr="00B844FE" w:rsidRDefault="002952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7E26" w14:textId="77777777" w:rsidR="001E370D" w:rsidRDefault="001E370D" w:rsidP="007F57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A15816" w14:textId="77777777" w:rsidR="001E370D" w:rsidRPr="001E370D" w:rsidRDefault="001E370D" w:rsidP="001E3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0B06" w14:textId="77777777" w:rsidR="001E370D" w:rsidRDefault="001E370D" w:rsidP="007F57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BEAD42" w14:textId="77777777" w:rsidR="001E370D" w:rsidRPr="001E370D" w:rsidRDefault="001E370D" w:rsidP="001E3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8865" w14:textId="77777777" w:rsidR="0029526D" w:rsidRPr="00B844FE" w:rsidRDefault="0029526D" w:rsidP="00B844FE">
      <w:r>
        <w:separator/>
      </w:r>
    </w:p>
  </w:footnote>
  <w:footnote w:type="continuationSeparator" w:id="0">
    <w:p w14:paraId="66776D28" w14:textId="77777777" w:rsidR="0029526D" w:rsidRPr="00B844FE" w:rsidRDefault="002952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2C05" w14:textId="77777777" w:rsidR="001E370D" w:rsidRPr="001E370D" w:rsidRDefault="001E370D" w:rsidP="001E370D">
    <w:pPr>
      <w:pStyle w:val="Header"/>
    </w:pPr>
    <w:r>
      <w:t>CS for SB 529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BE65" w14:textId="77777777" w:rsidR="001E370D" w:rsidRPr="001E370D" w:rsidRDefault="001E370D" w:rsidP="001E370D">
    <w:pPr>
      <w:pStyle w:val="Header"/>
    </w:pPr>
    <w:r>
      <w:t>CS for SB 529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6D"/>
    <w:rsid w:val="00002112"/>
    <w:rsid w:val="0000526A"/>
    <w:rsid w:val="00044F2B"/>
    <w:rsid w:val="00085D22"/>
    <w:rsid w:val="000C5C77"/>
    <w:rsid w:val="000D1209"/>
    <w:rsid w:val="0010070F"/>
    <w:rsid w:val="0012246A"/>
    <w:rsid w:val="00127425"/>
    <w:rsid w:val="0015112E"/>
    <w:rsid w:val="001552E7"/>
    <w:rsid w:val="001566B4"/>
    <w:rsid w:val="00175B38"/>
    <w:rsid w:val="001A56DA"/>
    <w:rsid w:val="001C279E"/>
    <w:rsid w:val="001D459E"/>
    <w:rsid w:val="001E370D"/>
    <w:rsid w:val="001F5554"/>
    <w:rsid w:val="00230763"/>
    <w:rsid w:val="00251E66"/>
    <w:rsid w:val="002570D5"/>
    <w:rsid w:val="0027011C"/>
    <w:rsid w:val="00274200"/>
    <w:rsid w:val="00275740"/>
    <w:rsid w:val="0029526D"/>
    <w:rsid w:val="002A0269"/>
    <w:rsid w:val="00301F44"/>
    <w:rsid w:val="00303684"/>
    <w:rsid w:val="003143F5"/>
    <w:rsid w:val="00314854"/>
    <w:rsid w:val="003567DF"/>
    <w:rsid w:val="00365920"/>
    <w:rsid w:val="003B6C7F"/>
    <w:rsid w:val="003C51CD"/>
    <w:rsid w:val="00410475"/>
    <w:rsid w:val="004247A2"/>
    <w:rsid w:val="004B2795"/>
    <w:rsid w:val="004C13DD"/>
    <w:rsid w:val="004E3441"/>
    <w:rsid w:val="004F7155"/>
    <w:rsid w:val="0052689D"/>
    <w:rsid w:val="00571DC3"/>
    <w:rsid w:val="005A5366"/>
    <w:rsid w:val="00637E73"/>
    <w:rsid w:val="006471C6"/>
    <w:rsid w:val="006565E8"/>
    <w:rsid w:val="006865E9"/>
    <w:rsid w:val="00691F3E"/>
    <w:rsid w:val="00694BFB"/>
    <w:rsid w:val="00696403"/>
    <w:rsid w:val="006A106B"/>
    <w:rsid w:val="006B01F5"/>
    <w:rsid w:val="006C523D"/>
    <w:rsid w:val="006D4036"/>
    <w:rsid w:val="006F48A7"/>
    <w:rsid w:val="007E02CF"/>
    <w:rsid w:val="007F1CF5"/>
    <w:rsid w:val="0081249D"/>
    <w:rsid w:val="00834EDE"/>
    <w:rsid w:val="008736AA"/>
    <w:rsid w:val="008D275D"/>
    <w:rsid w:val="008D7946"/>
    <w:rsid w:val="00952402"/>
    <w:rsid w:val="00980327"/>
    <w:rsid w:val="009A104C"/>
    <w:rsid w:val="009D35AE"/>
    <w:rsid w:val="009F1067"/>
    <w:rsid w:val="00A0604D"/>
    <w:rsid w:val="00A31E01"/>
    <w:rsid w:val="00A35B03"/>
    <w:rsid w:val="00A469EF"/>
    <w:rsid w:val="00A527AD"/>
    <w:rsid w:val="00A718CF"/>
    <w:rsid w:val="00A72E7C"/>
    <w:rsid w:val="00AC3B58"/>
    <w:rsid w:val="00AE27A7"/>
    <w:rsid w:val="00AE48A0"/>
    <w:rsid w:val="00AE61BE"/>
    <w:rsid w:val="00AF09E0"/>
    <w:rsid w:val="00B16F25"/>
    <w:rsid w:val="00B24422"/>
    <w:rsid w:val="00B525AE"/>
    <w:rsid w:val="00B80C20"/>
    <w:rsid w:val="00B81A5B"/>
    <w:rsid w:val="00B844FE"/>
    <w:rsid w:val="00BC562B"/>
    <w:rsid w:val="00C33014"/>
    <w:rsid w:val="00C33434"/>
    <w:rsid w:val="00C34869"/>
    <w:rsid w:val="00C350EE"/>
    <w:rsid w:val="00C42EB6"/>
    <w:rsid w:val="00C85096"/>
    <w:rsid w:val="00CB20EF"/>
    <w:rsid w:val="00CD12CB"/>
    <w:rsid w:val="00CD36CF"/>
    <w:rsid w:val="00CD3F81"/>
    <w:rsid w:val="00CF1DCA"/>
    <w:rsid w:val="00D53090"/>
    <w:rsid w:val="00D54447"/>
    <w:rsid w:val="00D579FC"/>
    <w:rsid w:val="00DE526B"/>
    <w:rsid w:val="00DF199D"/>
    <w:rsid w:val="00DF4120"/>
    <w:rsid w:val="00DF62A6"/>
    <w:rsid w:val="00E01542"/>
    <w:rsid w:val="00E301FC"/>
    <w:rsid w:val="00E365F1"/>
    <w:rsid w:val="00E62F48"/>
    <w:rsid w:val="00E831B3"/>
    <w:rsid w:val="00E909E8"/>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FAF14"/>
  <w15:chartTrackingRefBased/>
  <w15:docId w15:val="{89A87F11-14BF-41A9-8BF0-5C8BC330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1E370D"/>
    <w:rPr>
      <w:rFonts w:eastAsia="Calibri"/>
      <w:color w:val="000000"/>
    </w:rPr>
  </w:style>
  <w:style w:type="character" w:customStyle="1" w:styleId="SectionHeadingChar">
    <w:name w:val="Section Heading Char"/>
    <w:link w:val="SectionHeading"/>
    <w:rsid w:val="001E370D"/>
    <w:rPr>
      <w:rFonts w:eastAsia="Calibri"/>
      <w:b/>
      <w:color w:val="000000"/>
    </w:rPr>
  </w:style>
  <w:style w:type="character" w:styleId="PageNumber">
    <w:name w:val="page number"/>
    <w:basedOn w:val="DefaultParagraphFont"/>
    <w:uiPriority w:val="99"/>
    <w:semiHidden/>
    <w:locked/>
    <w:rsid w:val="001E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B2E5ABCE214EC695917D1844DE22B5"/>
        <w:category>
          <w:name w:val="General"/>
          <w:gallery w:val="placeholder"/>
        </w:category>
        <w:types>
          <w:type w:val="bbPlcHdr"/>
        </w:types>
        <w:behaviors>
          <w:behavior w:val="content"/>
        </w:behaviors>
        <w:guid w:val="{68195FBE-48F1-441E-B9B6-9DB059996E70}"/>
      </w:docPartPr>
      <w:docPartBody>
        <w:p w:rsidR="005C02D4" w:rsidRDefault="005C02D4">
          <w:pPr>
            <w:pStyle w:val="79B2E5ABCE214EC695917D1844DE22B5"/>
          </w:pPr>
          <w:r w:rsidRPr="00B844FE">
            <w:t>Prefix Text</w:t>
          </w:r>
        </w:p>
      </w:docPartBody>
    </w:docPart>
    <w:docPart>
      <w:docPartPr>
        <w:name w:val="B3B17E3A3FD74DE59EA23E4973AE2793"/>
        <w:category>
          <w:name w:val="General"/>
          <w:gallery w:val="placeholder"/>
        </w:category>
        <w:types>
          <w:type w:val="bbPlcHdr"/>
        </w:types>
        <w:behaviors>
          <w:behavior w:val="content"/>
        </w:behaviors>
        <w:guid w:val="{13BE51D4-E9F3-48BF-BCB1-EDECC78F08F3}"/>
      </w:docPartPr>
      <w:docPartBody>
        <w:p w:rsidR="005C02D4" w:rsidRDefault="005C02D4">
          <w:pPr>
            <w:pStyle w:val="B3B17E3A3FD74DE59EA23E4973AE2793"/>
          </w:pPr>
          <w:r w:rsidRPr="00B844FE">
            <w:t>[Type here]</w:t>
          </w:r>
        </w:p>
      </w:docPartBody>
    </w:docPart>
    <w:docPart>
      <w:docPartPr>
        <w:name w:val="3A92487F7A4A4B9BB30E4E12BA6AFC1D"/>
        <w:category>
          <w:name w:val="General"/>
          <w:gallery w:val="placeholder"/>
        </w:category>
        <w:types>
          <w:type w:val="bbPlcHdr"/>
        </w:types>
        <w:behaviors>
          <w:behavior w:val="content"/>
        </w:behaviors>
        <w:guid w:val="{6BB5E2ED-0CE5-4CFA-B61B-9B31B464D2B2}"/>
      </w:docPartPr>
      <w:docPartBody>
        <w:p w:rsidR="005C02D4" w:rsidRDefault="005C02D4">
          <w:pPr>
            <w:pStyle w:val="3A92487F7A4A4B9BB30E4E12BA6AFC1D"/>
          </w:pPr>
          <w:r w:rsidRPr="00B844FE">
            <w:t>Number</w:t>
          </w:r>
        </w:p>
      </w:docPartBody>
    </w:docPart>
    <w:docPart>
      <w:docPartPr>
        <w:name w:val="1F30D83F332343BD96915A43487052A8"/>
        <w:category>
          <w:name w:val="General"/>
          <w:gallery w:val="placeholder"/>
        </w:category>
        <w:types>
          <w:type w:val="bbPlcHdr"/>
        </w:types>
        <w:behaviors>
          <w:behavior w:val="content"/>
        </w:behaviors>
        <w:guid w:val="{FECA9353-805E-45CE-BADA-230A0FF955A6}"/>
      </w:docPartPr>
      <w:docPartBody>
        <w:p w:rsidR="005C02D4" w:rsidRDefault="005C02D4">
          <w:pPr>
            <w:pStyle w:val="1F30D83F332343BD96915A43487052A8"/>
          </w:pPr>
          <w:r>
            <w:rPr>
              <w:rStyle w:val="PlaceholderText"/>
            </w:rPr>
            <w:t>February 12, 2025</w:t>
          </w:r>
        </w:p>
      </w:docPartBody>
    </w:docPart>
    <w:docPart>
      <w:docPartPr>
        <w:name w:val="029C2125A8CE41C1A2B6C02E391DC72E"/>
        <w:category>
          <w:name w:val="General"/>
          <w:gallery w:val="placeholder"/>
        </w:category>
        <w:types>
          <w:type w:val="bbPlcHdr"/>
        </w:types>
        <w:behaviors>
          <w:behavior w:val="content"/>
        </w:behaviors>
        <w:guid w:val="{60E73585-DA26-44C1-9F52-ECD3345273DC}"/>
      </w:docPartPr>
      <w:docPartBody>
        <w:p w:rsidR="005C02D4" w:rsidRDefault="005C02D4">
          <w:pPr>
            <w:pStyle w:val="029C2125A8CE41C1A2B6C02E391DC72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D4"/>
    <w:rsid w:val="000D1209"/>
    <w:rsid w:val="005C02D4"/>
    <w:rsid w:val="00696403"/>
    <w:rsid w:val="00A0604D"/>
    <w:rsid w:val="00B525AE"/>
    <w:rsid w:val="00E3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B2E5ABCE214EC695917D1844DE22B5">
    <w:name w:val="79B2E5ABCE214EC695917D1844DE22B5"/>
  </w:style>
  <w:style w:type="paragraph" w:customStyle="1" w:styleId="B3B17E3A3FD74DE59EA23E4973AE2793">
    <w:name w:val="B3B17E3A3FD74DE59EA23E4973AE2793"/>
  </w:style>
  <w:style w:type="paragraph" w:customStyle="1" w:styleId="3A92487F7A4A4B9BB30E4E12BA6AFC1D">
    <w:name w:val="3A92487F7A4A4B9BB30E4E12BA6AFC1D"/>
  </w:style>
  <w:style w:type="character" w:styleId="PlaceholderText">
    <w:name w:val="Placeholder Text"/>
    <w:basedOn w:val="DefaultParagraphFont"/>
    <w:uiPriority w:val="99"/>
    <w:semiHidden/>
    <w:rsid w:val="005C02D4"/>
    <w:rPr>
      <w:color w:val="808080"/>
    </w:rPr>
  </w:style>
  <w:style w:type="paragraph" w:customStyle="1" w:styleId="1F30D83F332343BD96915A43487052A8">
    <w:name w:val="1F30D83F332343BD96915A43487052A8"/>
  </w:style>
  <w:style w:type="paragraph" w:customStyle="1" w:styleId="029C2125A8CE41C1A2B6C02E391DC72E">
    <w:name w:val="029C2125A8CE41C1A2B6C02E391DC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790</Words>
  <Characters>4260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2025-03-25T22:34:00Z</cp:lastPrinted>
  <dcterms:created xsi:type="dcterms:W3CDTF">2025-03-25T22:34:00Z</dcterms:created>
  <dcterms:modified xsi:type="dcterms:W3CDTF">2025-03-25T22:34:00Z</dcterms:modified>
</cp:coreProperties>
</file>