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0B7BF" w14:textId="77777777" w:rsidR="00FE067E" w:rsidRDefault="003C6034" w:rsidP="00CC1F3B">
      <w:pPr>
        <w:pStyle w:val="TitlePageOrigin"/>
      </w:pPr>
      <w:r>
        <w:rPr>
          <w:caps w:val="0"/>
        </w:rPr>
        <w:t>WEST VIRGINIA LEGISLATURE</w:t>
      </w:r>
    </w:p>
    <w:p w14:paraId="08F5F1AF"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5E456B23" w14:textId="77777777" w:rsidR="00CD36CF" w:rsidRDefault="0021197A" w:rsidP="00CC1F3B">
      <w:pPr>
        <w:pStyle w:val="TitlePageBillPrefix"/>
      </w:pPr>
      <w:sdt>
        <w:sdtPr>
          <w:tag w:val="IntroDate"/>
          <w:id w:val="-1236936958"/>
          <w:placeholder>
            <w:docPart w:val="EA3E2AB1FA7E45BD8B90FAB72635F368"/>
          </w:placeholder>
          <w:text/>
        </w:sdtPr>
        <w:sdtEndPr/>
        <w:sdtContent>
          <w:r w:rsidR="00AE48A0">
            <w:t>Introduced</w:t>
          </w:r>
        </w:sdtContent>
      </w:sdt>
    </w:p>
    <w:p w14:paraId="282C1022" w14:textId="6986E0CE" w:rsidR="00CD36CF" w:rsidRDefault="0021197A" w:rsidP="00CC1F3B">
      <w:pPr>
        <w:pStyle w:val="BillNumber"/>
      </w:pPr>
      <w:sdt>
        <w:sdtPr>
          <w:tag w:val="Chamber"/>
          <w:id w:val="893011969"/>
          <w:lock w:val="sdtLocked"/>
          <w:placeholder>
            <w:docPart w:val="DE4E39F3E0384204BE2912D58E03CA12"/>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2A507BDEB0CE4545A9A3FF3E78EA2948"/>
          </w:placeholder>
          <w:text/>
        </w:sdtPr>
        <w:sdtEndPr/>
        <w:sdtContent>
          <w:r w:rsidR="002A6825">
            <w:t>4083</w:t>
          </w:r>
        </w:sdtContent>
      </w:sdt>
    </w:p>
    <w:p w14:paraId="3D73A9D7" w14:textId="0375DB9A" w:rsidR="00CD36CF" w:rsidRDefault="00CD36CF" w:rsidP="00CC1F3B">
      <w:pPr>
        <w:pStyle w:val="Sponsors"/>
      </w:pPr>
      <w:r>
        <w:t xml:space="preserve">By </w:t>
      </w:r>
      <w:sdt>
        <w:sdtPr>
          <w:tag w:val="Sponsors"/>
          <w:id w:val="1589585889"/>
          <w:placeholder>
            <w:docPart w:val="ECD93ABDFC6242359BF0FDF47E50039F"/>
          </w:placeholder>
          <w:text w:multiLine="1"/>
        </w:sdtPr>
        <w:sdtEndPr/>
        <w:sdtContent>
          <w:r w:rsidR="008D2669">
            <w:t>Delegate</w:t>
          </w:r>
          <w:r w:rsidR="0012355E">
            <w:t>s</w:t>
          </w:r>
          <w:r w:rsidR="008D2669">
            <w:t xml:space="preserve"> Coop-Gonzalez</w:t>
          </w:r>
          <w:r w:rsidR="0012355E">
            <w:t>, Ridenour, McGeehan, and Anders.</w:t>
          </w:r>
        </w:sdtContent>
      </w:sdt>
    </w:p>
    <w:p w14:paraId="19476D82" w14:textId="0ABD3B8D" w:rsidR="00E831B3" w:rsidRDefault="00CD36CF" w:rsidP="00CC1F3B">
      <w:pPr>
        <w:pStyle w:val="References"/>
      </w:pPr>
      <w:r>
        <w:t>[</w:t>
      </w:r>
      <w:sdt>
        <w:sdtPr>
          <w:tag w:val="References"/>
          <w:id w:val="-1043047873"/>
          <w:placeholder>
            <w:docPart w:val="1B06ED08EEE44593B9FD02C02DA9889C"/>
          </w:placeholder>
          <w:text w:multiLine="1"/>
        </w:sdtPr>
        <w:sdtEndPr/>
        <w:sdtContent>
          <w:r w:rsidR="002A6825">
            <w:t>Introduced January 14, 2026; referred to the Committee on the Judiciary</w:t>
          </w:r>
        </w:sdtContent>
      </w:sdt>
      <w:r>
        <w:t>]</w:t>
      </w:r>
    </w:p>
    <w:p w14:paraId="6440C3E1" w14:textId="3A6556EB" w:rsidR="00303684" w:rsidRDefault="0000526A" w:rsidP="00CC1F3B">
      <w:pPr>
        <w:pStyle w:val="TitleSection"/>
      </w:pPr>
      <w:r>
        <w:lastRenderedPageBreak/>
        <w:t>A BILL</w:t>
      </w:r>
      <w:r w:rsidR="00041D6F">
        <w:t xml:space="preserve"> </w:t>
      </w:r>
      <w:r w:rsidR="00041D6F" w:rsidRPr="00B97893">
        <w:t xml:space="preserve">to amend </w:t>
      </w:r>
      <w:r w:rsidR="00041D6F">
        <w:t xml:space="preserve">and reenact </w:t>
      </w:r>
      <w:r w:rsidR="004D4AFF">
        <w:t xml:space="preserve">§30-3-20 and </w:t>
      </w:r>
      <w:r w:rsidR="00041D6F">
        <w:t xml:space="preserve">§55-7B-4 of </w:t>
      </w:r>
      <w:r w:rsidR="00041D6F" w:rsidRPr="00B97893">
        <w:t xml:space="preserve">the Code of West Virginia, 1931, </w:t>
      </w:r>
      <w:r w:rsidR="00041D6F">
        <w:t xml:space="preserve">relating to </w:t>
      </w:r>
      <w:r w:rsidR="00F867DC">
        <w:t xml:space="preserve">clarifying </w:t>
      </w:r>
      <w:r w:rsidR="002506CD">
        <w:t>parameters for medical malpractice</w:t>
      </w:r>
      <w:r w:rsidR="00F867DC">
        <w:t xml:space="preserve"> civil actions</w:t>
      </w:r>
      <w:r w:rsidR="002506CD">
        <w:t>.</w:t>
      </w:r>
    </w:p>
    <w:p w14:paraId="23A77CA9" w14:textId="77777777" w:rsidR="00303684" w:rsidRDefault="00303684" w:rsidP="00CC1F3B">
      <w:pPr>
        <w:pStyle w:val="EnactingClause"/>
      </w:pPr>
      <w:r>
        <w:t>Be it enacted by the Legislature of West Virginia:</w:t>
      </w:r>
    </w:p>
    <w:p w14:paraId="6B6624C7" w14:textId="77777777" w:rsidR="003C6034" w:rsidRDefault="003C6034" w:rsidP="00CC1F3B">
      <w:pPr>
        <w:pStyle w:val="EnactingClause"/>
        <w:sectPr w:rsidR="003C6034" w:rsidSect="00F867D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028D7FC" w14:textId="77777777" w:rsidR="00090084" w:rsidRPr="00EF07C5" w:rsidRDefault="00090084" w:rsidP="00090084">
      <w:pPr>
        <w:pStyle w:val="ChapterHeading"/>
        <w:rPr>
          <w:color w:val="auto"/>
        </w:rPr>
        <w:sectPr w:rsidR="00090084" w:rsidRPr="00EF07C5" w:rsidSect="00F867DC">
          <w:type w:val="continuous"/>
          <w:pgSz w:w="12240" w:h="15840" w:code="1"/>
          <w:pgMar w:top="1440" w:right="1440" w:bottom="1440" w:left="1440" w:header="720" w:footer="720" w:gutter="0"/>
          <w:lnNumType w:countBy="1" w:restart="newSection"/>
          <w:cols w:space="720"/>
          <w:titlePg/>
          <w:docGrid w:linePitch="360"/>
        </w:sectPr>
      </w:pPr>
      <w:r w:rsidRPr="00EF07C5">
        <w:rPr>
          <w:color w:val="auto"/>
        </w:rPr>
        <w:t>chapter 30. professions and occupations.</w:t>
      </w:r>
    </w:p>
    <w:p w14:paraId="77984341" w14:textId="0B7BB775" w:rsidR="00F867DC" w:rsidRDefault="00F867DC" w:rsidP="002506CD">
      <w:pPr>
        <w:pStyle w:val="ArticleHeading"/>
        <w:sectPr w:rsidR="00F867DC" w:rsidSect="00F867DC">
          <w:type w:val="continuous"/>
          <w:pgSz w:w="12240" w:h="15840" w:code="1"/>
          <w:pgMar w:top="1440" w:right="1440" w:bottom="1440" w:left="1440" w:header="720" w:footer="720" w:gutter="0"/>
          <w:lnNumType w:countBy="1" w:restart="newSection"/>
          <w:cols w:space="720"/>
          <w:titlePg/>
          <w:docGrid w:linePitch="360"/>
        </w:sectPr>
      </w:pPr>
      <w:r w:rsidRPr="00F867DC">
        <w:t xml:space="preserve">Article </w:t>
      </w:r>
      <w:r>
        <w:t>3</w:t>
      </w:r>
      <w:r w:rsidRPr="00F867DC">
        <w:t xml:space="preserve">. </w:t>
      </w:r>
      <w:r>
        <w:t xml:space="preserve">West Virginia </w:t>
      </w:r>
      <w:r w:rsidRPr="00F867DC">
        <w:t>Medical Practice Act</w:t>
      </w:r>
      <w:r>
        <w:t>.</w:t>
      </w:r>
    </w:p>
    <w:p w14:paraId="1CBDE643" w14:textId="77777777" w:rsidR="00F867DC" w:rsidRDefault="00F867DC" w:rsidP="00C4023E">
      <w:pPr>
        <w:pStyle w:val="SectionHeading"/>
        <w:sectPr w:rsidR="00F867DC" w:rsidSect="00F867DC">
          <w:type w:val="continuous"/>
          <w:pgSz w:w="12240" w:h="15840" w:code="1"/>
          <w:pgMar w:top="1440" w:right="1440" w:bottom="1440" w:left="1440" w:header="720" w:footer="720" w:gutter="0"/>
          <w:lnNumType w:countBy="1" w:restart="newSection"/>
          <w:cols w:space="720"/>
          <w:titlePg/>
          <w:docGrid w:linePitch="360"/>
        </w:sectPr>
      </w:pPr>
      <w:r w:rsidRPr="00C4023E">
        <w:t>§30-3-20. Prohibited practice.</w:t>
      </w:r>
    </w:p>
    <w:p w14:paraId="3C37619F" w14:textId="77777777" w:rsidR="00F867DC" w:rsidRPr="0035134E" w:rsidRDefault="00F867DC" w:rsidP="00C4023E">
      <w:pPr>
        <w:pStyle w:val="SectionBody"/>
      </w:pPr>
      <w:r w:rsidRPr="0035134E">
        <w:t>(a) For the purposes of this section:</w:t>
      </w:r>
    </w:p>
    <w:p w14:paraId="33A8F3F8" w14:textId="77777777" w:rsidR="00F867DC" w:rsidRPr="0035134E" w:rsidRDefault="00F867DC" w:rsidP="00C4023E">
      <w:pPr>
        <w:pStyle w:val="SectionBody"/>
      </w:pPr>
      <w:r w:rsidRPr="0035134E">
        <w:t>"Gender" means the psychological, behavioral, social, and cultural aspects of being male or female.</w:t>
      </w:r>
    </w:p>
    <w:p w14:paraId="73A43773" w14:textId="77777777" w:rsidR="00F867DC" w:rsidRPr="0035134E" w:rsidRDefault="00F867DC" w:rsidP="00C4023E">
      <w:pPr>
        <w:pStyle w:val="SectionBody"/>
      </w:pPr>
      <w:r w:rsidRPr="0035134E">
        <w:t>"Gender altering medication" means the prescribing or administering of the following for the purpose of assisting an individual with a gender transition:</w:t>
      </w:r>
    </w:p>
    <w:p w14:paraId="7DF0261E" w14:textId="77777777" w:rsidR="00F867DC" w:rsidRPr="0035134E" w:rsidRDefault="00F867DC" w:rsidP="00C4023E">
      <w:pPr>
        <w:pStyle w:val="SectionBody"/>
      </w:pPr>
      <w:r w:rsidRPr="0035134E">
        <w:t>(1) Gonadotropin-releasing hormone (GnRH) analogues or other puberty blocking medication to stop or delay normal puberty; and</w:t>
      </w:r>
    </w:p>
    <w:p w14:paraId="00F34A1C" w14:textId="77777777" w:rsidR="00F867DC" w:rsidRPr="0035134E" w:rsidRDefault="00F867DC" w:rsidP="00C4023E">
      <w:pPr>
        <w:pStyle w:val="SectionBody"/>
      </w:pPr>
      <w:r w:rsidRPr="0035134E">
        <w:t xml:space="preserve">(2) Supraphysiologic doses of testosterone, estrogen, or other androgens than would normally be produced endogenously in a healthy individual of the same age and sex.  </w:t>
      </w:r>
    </w:p>
    <w:p w14:paraId="106EB55E" w14:textId="77777777" w:rsidR="00F867DC" w:rsidRPr="0035134E" w:rsidRDefault="00F867DC" w:rsidP="00C4023E">
      <w:pPr>
        <w:pStyle w:val="SectionBody"/>
      </w:pPr>
      <w:r w:rsidRPr="0035134E">
        <w:t>"Gender reassignment surgery" means a surgical procedure performed for the purpose of assisting an individual with a gender transition, including any of the following:</w:t>
      </w:r>
    </w:p>
    <w:p w14:paraId="02309C8A" w14:textId="77777777" w:rsidR="00F867DC" w:rsidRPr="0035134E" w:rsidRDefault="00F867DC" w:rsidP="00C4023E">
      <w:pPr>
        <w:pStyle w:val="SectionBody"/>
      </w:pPr>
      <w:r w:rsidRPr="0035134E">
        <w:t xml:space="preserve">(1) Penectomy, orchiectomy, vaginoplasty, </w:t>
      </w:r>
      <w:proofErr w:type="spellStart"/>
      <w:r w:rsidRPr="0035134E">
        <w:t>clitoroplasty</w:t>
      </w:r>
      <w:proofErr w:type="spellEnd"/>
      <w:r w:rsidRPr="0035134E">
        <w:t xml:space="preserve">, </w:t>
      </w:r>
      <w:proofErr w:type="spellStart"/>
      <w:r w:rsidRPr="0035134E">
        <w:t>vulvoplasty</w:t>
      </w:r>
      <w:proofErr w:type="spellEnd"/>
      <w:r w:rsidRPr="0035134E">
        <w:t xml:space="preserve">, hysterectomy, or </w:t>
      </w:r>
      <w:proofErr w:type="gramStart"/>
      <w:r w:rsidRPr="0035134E">
        <w:t>ovariectomy;</w:t>
      </w:r>
      <w:proofErr w:type="gramEnd"/>
      <w:r w:rsidRPr="0035134E">
        <w:t xml:space="preserve"> </w:t>
      </w:r>
    </w:p>
    <w:p w14:paraId="1DF1FA64" w14:textId="77777777" w:rsidR="00F867DC" w:rsidRPr="0035134E" w:rsidRDefault="00F867DC" w:rsidP="00C4023E">
      <w:pPr>
        <w:pStyle w:val="SectionBody"/>
      </w:pPr>
      <w:r w:rsidRPr="0035134E">
        <w:t>(2) Metoidioplasty, phalloplasty, vaginectomy, scrotoplasty, or implantation of erection or testicular prostheses; and</w:t>
      </w:r>
    </w:p>
    <w:p w14:paraId="671F9C84" w14:textId="77777777" w:rsidR="00F867DC" w:rsidRPr="0035134E" w:rsidRDefault="00F867DC" w:rsidP="00C4023E">
      <w:pPr>
        <w:pStyle w:val="SectionBody"/>
      </w:pPr>
      <w:r w:rsidRPr="0035134E">
        <w:t xml:space="preserve">(3) Augmentation mammoplasty, subcutaneous mastectomy, or any plastic, cosmetic, or aesthetic surgery that feminizes or masculinizes the facial or other body features of an individual.   </w:t>
      </w:r>
    </w:p>
    <w:p w14:paraId="42C46668" w14:textId="77777777" w:rsidR="00F867DC" w:rsidRPr="0035134E" w:rsidRDefault="00F867DC" w:rsidP="00C4023E">
      <w:pPr>
        <w:pStyle w:val="SectionBody"/>
      </w:pPr>
      <w:r w:rsidRPr="0035134E">
        <w:t xml:space="preserve">"Gender transition" means the process in which a person goes from identifying with and living as a gender that corresponds to the person’s sex to identifying with and living as a gender </w:t>
      </w:r>
      <w:r w:rsidRPr="0035134E">
        <w:lastRenderedPageBreak/>
        <w:t xml:space="preserve">different from the person’s sex and may involve social, legal, or physical changes. </w:t>
      </w:r>
      <w:bookmarkStart w:id="0" w:name="_Hlk188897410"/>
    </w:p>
    <w:bookmarkEnd w:id="0"/>
    <w:p w14:paraId="03997BE7" w14:textId="10D1F27B" w:rsidR="00F867DC" w:rsidRPr="0035134E" w:rsidRDefault="00F867DC" w:rsidP="00C4023E">
      <w:pPr>
        <w:pStyle w:val="SectionBody"/>
      </w:pPr>
      <w:r w:rsidRPr="0035134E">
        <w:t>"Sex</w:t>
      </w:r>
      <w:r>
        <w:t>"</w:t>
      </w:r>
      <w:r w:rsidRPr="0035134E">
        <w:t xml:space="preserve"> means the state of being either male or female as observed or clinically verified at birth. There are only two sexes, and every individual is either male or female: </w:t>
      </w:r>
      <w:r w:rsidRPr="00C4023E">
        <w:rPr>
          <w:i/>
        </w:rPr>
        <w:t>Provided</w:t>
      </w:r>
      <w:r w:rsidRPr="0035134E">
        <w:t>, That individuals with congenital and medically verifiable "DSD conditions" (sometimes referred to as "differences in sex development", "disorders in sex development", or "intersex conditions") are not members of a third sex and must be accommodated consistent with state and federal law.</w:t>
      </w:r>
    </w:p>
    <w:p w14:paraId="3232F169" w14:textId="77777777" w:rsidR="00F867DC" w:rsidRPr="0035134E" w:rsidRDefault="00F867DC" w:rsidP="00C4023E">
      <w:pPr>
        <w:pStyle w:val="SectionBody"/>
      </w:pPr>
      <w:r w:rsidRPr="0035134E">
        <w:t xml:space="preserve">(b) A physician may not provide gender reassignment surgery or gender altering medication to a person who is under 18 years of age.  </w:t>
      </w:r>
    </w:p>
    <w:p w14:paraId="67640E3A" w14:textId="77777777" w:rsidR="00F867DC" w:rsidRPr="0035134E" w:rsidRDefault="00F867DC" w:rsidP="00C4023E">
      <w:pPr>
        <w:pStyle w:val="SectionBody"/>
      </w:pPr>
      <w:r w:rsidRPr="0035134E">
        <w:t>(c) A physician may provide any of the following to a person who is under 18 years of age:</w:t>
      </w:r>
    </w:p>
    <w:p w14:paraId="0482B30C" w14:textId="77777777" w:rsidR="00F867DC" w:rsidRPr="0035134E" w:rsidRDefault="00F867DC" w:rsidP="00C4023E">
      <w:pPr>
        <w:pStyle w:val="SectionBody"/>
      </w:pPr>
      <w:r w:rsidRPr="0035134E">
        <w:t xml:space="preserve">(1) Services provided to an individual born with a medically verifiable disorder of sex development, including, but not limited to, a person with external sex characteristics that are </w:t>
      </w:r>
      <w:proofErr w:type="spellStart"/>
      <w:r w:rsidRPr="0035134E">
        <w:t>irresolvably</w:t>
      </w:r>
      <w:proofErr w:type="spellEnd"/>
      <w:r w:rsidRPr="0035134E">
        <w:t xml:space="preserve"> ambiguous, such as an individual born with 46 xx chromosomes with virilization, 46 </w:t>
      </w:r>
      <w:proofErr w:type="spellStart"/>
      <w:r w:rsidRPr="0035134E">
        <w:t>xy</w:t>
      </w:r>
      <w:proofErr w:type="spellEnd"/>
      <w:r w:rsidRPr="0035134E">
        <w:t xml:space="preserve"> chromosomes with </w:t>
      </w:r>
      <w:proofErr w:type="spellStart"/>
      <w:r w:rsidRPr="0035134E">
        <w:t>undervirilization</w:t>
      </w:r>
      <w:proofErr w:type="spellEnd"/>
      <w:r w:rsidRPr="0035134E">
        <w:t xml:space="preserve">, or having both ovarian and testicular </w:t>
      </w:r>
      <w:proofErr w:type="gramStart"/>
      <w:r w:rsidRPr="0035134E">
        <w:t>tissue;</w:t>
      </w:r>
      <w:proofErr w:type="gramEnd"/>
    </w:p>
    <w:p w14:paraId="251B7D05" w14:textId="77777777" w:rsidR="00F867DC" w:rsidRPr="0035134E" w:rsidRDefault="00F867DC" w:rsidP="00C4023E">
      <w:pPr>
        <w:pStyle w:val="SectionBody"/>
      </w:pPr>
      <w:r w:rsidRPr="0035134E">
        <w:t xml:space="preserve">(2) Services provided to an individual when a physician has otherwise diagnosed a disorder of sexual development and in which the physician has determined through genetic or biochemical testing that the individual does not have normal sex chromosome structure, sex steroid hormone production, or sex steroid hormone </w:t>
      </w:r>
      <w:proofErr w:type="gramStart"/>
      <w:r w:rsidRPr="0035134E">
        <w:t>action;</w:t>
      </w:r>
      <w:proofErr w:type="gramEnd"/>
    </w:p>
    <w:p w14:paraId="2A98025B" w14:textId="77777777" w:rsidR="00F867DC" w:rsidRPr="0035134E" w:rsidRDefault="00F867DC" w:rsidP="00C4023E">
      <w:pPr>
        <w:pStyle w:val="SectionBody"/>
      </w:pPr>
      <w:r w:rsidRPr="0035134E">
        <w:t xml:space="preserve">(3) The treatment of any infection, injury, disease, or disorder that has been caused by or exacerbated by the performance of gender transition procedures, </w:t>
      </w:r>
      <w:proofErr w:type="gramStart"/>
      <w:r w:rsidRPr="0035134E">
        <w:t>whether or not</w:t>
      </w:r>
      <w:proofErr w:type="gramEnd"/>
      <w:r w:rsidRPr="0035134E">
        <w:t xml:space="preserve"> these procedures were performed in accordance with state and federal law; and</w:t>
      </w:r>
    </w:p>
    <w:p w14:paraId="249F3939" w14:textId="77777777" w:rsidR="00F867DC" w:rsidRPr="0035134E" w:rsidRDefault="00F867DC" w:rsidP="00C4023E">
      <w:pPr>
        <w:pStyle w:val="SectionBody"/>
      </w:pPr>
      <w:r w:rsidRPr="0035134E">
        <w:t>(4) Any procedure undertaken because the individual suffers from a physical disorder, physical injury, or physical illness that would, as certified by a physician, place the person in imminent danger of death, or impairment of a major bodily function unless surgery is performed.</w:t>
      </w:r>
    </w:p>
    <w:p w14:paraId="0B630339" w14:textId="77777777" w:rsidR="00F867DC" w:rsidRPr="0035134E" w:rsidRDefault="00F867DC" w:rsidP="00C4023E">
      <w:pPr>
        <w:pStyle w:val="SectionBody"/>
      </w:pPr>
      <w:r w:rsidRPr="0035134E">
        <w:t>(d) The provisions of this section are effective on January 1, 2024. The amendments made to this article during the 2025 regular session of the Legislature are effective on August 1, 2025.</w:t>
      </w:r>
    </w:p>
    <w:p w14:paraId="707F4811" w14:textId="77777777" w:rsidR="00F867DC" w:rsidRPr="0035134E" w:rsidRDefault="00F867DC" w:rsidP="00C4023E">
      <w:pPr>
        <w:pStyle w:val="SectionBody"/>
      </w:pPr>
      <w:proofErr w:type="gramStart"/>
      <w:r w:rsidRPr="0035134E">
        <w:t>(e) If</w:t>
      </w:r>
      <w:proofErr w:type="gramEnd"/>
      <w:r w:rsidRPr="0035134E">
        <w:t xml:space="preserve"> a physician provides either gender reassignment surgery or gender altering </w:t>
      </w:r>
      <w:r w:rsidRPr="0035134E">
        <w:lastRenderedPageBreak/>
        <w:t xml:space="preserve">medication to a person who is under 18 years of age, the appropriate licensing board shall find the physician in violation of this section and shall immediately revoke the license of the physician.  </w:t>
      </w:r>
    </w:p>
    <w:p w14:paraId="5DFCB460" w14:textId="6D25FE04" w:rsidR="00F867DC" w:rsidRPr="0035134E" w:rsidRDefault="00F867DC" w:rsidP="00C4023E">
      <w:pPr>
        <w:pStyle w:val="SectionBody"/>
      </w:pPr>
      <w:r w:rsidRPr="0035134E">
        <w:t>(f) A person may assert an actual or threatened violation of this section as a claim or defense in a judicial or administrative proceeding and obtain compensatory damages, injunctive relief, declaratory relief, reasonable attorneys’ fees, and any other appropriate relief</w:t>
      </w:r>
      <w:r>
        <w:t xml:space="preserve">, </w:t>
      </w:r>
      <w:r w:rsidRPr="00F867DC">
        <w:rPr>
          <w:u w:val="single"/>
        </w:rPr>
        <w:t>including but not limited to any costs incurred, directly or indirectly, for any subsequent procedures, therapies, prescriptions, or other treatments related to the effects of the prior surgery or prescription</w:t>
      </w:r>
      <w:r w:rsidRPr="0035134E">
        <w:t>. A person shall bring a claim for a violation of this section not later than two years after the day the cause of action accrues. A minor may bring an action before reaching 18 years of age through a parent or guardian and may bring an action in the minor's own name upon reaching 18 years of age at any time from that point until 20 years after. Inasmuch as the Legislature intends to make unlawful the provision of gender reassignment surgery or gender altering medication to a minor, it is the intent of the Legislature that this section be exempt from compliance with §55-7B-6 of this code.</w:t>
      </w:r>
    </w:p>
    <w:p w14:paraId="42A0BEFC" w14:textId="77777777" w:rsidR="00F867DC" w:rsidRPr="0035134E" w:rsidRDefault="00F867DC" w:rsidP="00C4023E">
      <w:pPr>
        <w:pStyle w:val="SectionBody"/>
      </w:pPr>
      <w:r w:rsidRPr="0035134E">
        <w:t>(g) The Attorney General may bring an action to enforce compliance with this section. Nothing in this section shall be construed to deny, impair, or otherwise affect any right or authority of the Attorney General, the state, or any agency, officer, or employee of the state to institute or intervene in any proceeding.</w:t>
      </w:r>
    </w:p>
    <w:p w14:paraId="2BCBA9E8" w14:textId="77777777" w:rsidR="00F867DC" w:rsidRPr="002C3BA1" w:rsidRDefault="00F867DC" w:rsidP="00C4023E">
      <w:pPr>
        <w:pStyle w:val="SectionBody"/>
      </w:pPr>
      <w:r w:rsidRPr="0035134E">
        <w:t>(h) If any provision of this section, or the application thereof to any provision or circumstance, shall be held unconstitutional or otherwise invalid, such invalidity or unconstitutionality shall not affect the provisions or application of this section which can be given effect without the unconstitutional or invalid provisions of application, and to this end the provisions of this section are declared to be severable.</w:t>
      </w:r>
    </w:p>
    <w:p w14:paraId="01F2BA6E" w14:textId="77777777" w:rsidR="00F867DC" w:rsidRDefault="00F867DC" w:rsidP="002506CD">
      <w:pPr>
        <w:pStyle w:val="ArticleHeading"/>
        <w:sectPr w:rsidR="00F867DC" w:rsidSect="00F867DC">
          <w:type w:val="continuous"/>
          <w:pgSz w:w="12240" w:h="15840" w:code="1"/>
          <w:pgMar w:top="1440" w:right="1440" w:bottom="1440" w:left="1440" w:header="720" w:footer="720" w:gutter="0"/>
          <w:lnNumType w:countBy="1" w:restart="newSection"/>
          <w:cols w:space="720"/>
          <w:titlePg/>
          <w:docGrid w:linePitch="360"/>
        </w:sectPr>
      </w:pPr>
    </w:p>
    <w:p w14:paraId="704BF7FB" w14:textId="77777777" w:rsidR="00090084" w:rsidRPr="00EF07C5" w:rsidRDefault="00090084" w:rsidP="00090084">
      <w:pPr>
        <w:pStyle w:val="ChapterHeading"/>
        <w:rPr>
          <w:color w:val="auto"/>
        </w:rPr>
        <w:sectPr w:rsidR="00090084" w:rsidRPr="00EF07C5" w:rsidSect="00F867DC">
          <w:type w:val="continuous"/>
          <w:pgSz w:w="12240" w:h="15840" w:code="1"/>
          <w:pgMar w:top="1440" w:right="1440" w:bottom="1440" w:left="1440" w:header="720" w:footer="720" w:gutter="0"/>
          <w:lnNumType w:countBy="1" w:restart="newSection"/>
          <w:cols w:space="720"/>
          <w:titlePg/>
          <w:docGrid w:linePitch="360"/>
        </w:sectPr>
      </w:pPr>
      <w:r w:rsidRPr="00EF07C5">
        <w:rPr>
          <w:color w:val="auto"/>
        </w:rPr>
        <w:t>chapter 55. ACTIONS, SUITS AND ARBITRATION; JUDICIAL SALE.</w:t>
      </w:r>
    </w:p>
    <w:p w14:paraId="5268AD05" w14:textId="1DBCCCCB" w:rsidR="002506CD" w:rsidRDefault="002506CD" w:rsidP="002506CD">
      <w:pPr>
        <w:pStyle w:val="ArticleHeading"/>
        <w:sectPr w:rsidR="002506CD" w:rsidSect="00F867DC">
          <w:type w:val="continuous"/>
          <w:pgSz w:w="12240" w:h="15840" w:code="1"/>
          <w:pgMar w:top="1440" w:right="1440" w:bottom="1440" w:left="1440" w:header="720" w:footer="720" w:gutter="0"/>
          <w:lnNumType w:countBy="1" w:restart="newSection"/>
          <w:cols w:space="720"/>
          <w:titlePg/>
          <w:docGrid w:linePitch="360"/>
        </w:sectPr>
      </w:pPr>
      <w:r w:rsidRPr="002506CD">
        <w:t>ARTICLE 7B. MEDICAL PROFESSIONAL LIABILITY.</w:t>
      </w:r>
    </w:p>
    <w:p w14:paraId="615BAA27" w14:textId="77777777" w:rsidR="00396480" w:rsidRDefault="002506CD" w:rsidP="00765559">
      <w:pPr>
        <w:pStyle w:val="SectionHeading"/>
        <w:sectPr w:rsidR="00396480" w:rsidSect="00F867DC">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r w:rsidRPr="009630A7">
        <w:lastRenderedPageBreak/>
        <w:t>§55-7B-4. Health care injuries; limitations of actions; exceptions; venue.</w:t>
      </w:r>
    </w:p>
    <w:p w14:paraId="04CAFCF7" w14:textId="77777777" w:rsidR="002506CD" w:rsidRPr="009630A7" w:rsidRDefault="002506CD" w:rsidP="00765559">
      <w:pPr>
        <w:pStyle w:val="SectionBody"/>
      </w:pPr>
      <w:r w:rsidRPr="009630A7">
        <w:t xml:space="preserve">(a) A </w:t>
      </w:r>
      <w:bookmarkStart w:id="1" w:name="_Hlk82069245"/>
      <w:r w:rsidRPr="009630A7">
        <w:t>cause of action for medical injury to a person alleging medical professional liability against a health care provider</w:t>
      </w:r>
      <w:bookmarkEnd w:id="1"/>
      <w:r w:rsidRPr="009630A7">
        <w:t xml:space="preserve">, except a nursing home, assisted living facility, their related entities or employees, or a distinct part of an acute care hospital providing intermediate care or skilled nursing care or its employees, arises as of the date of medical injury, except as provided in subsection (c) of this section, and must be commenced within two years of the date of such injury or death, or within two years of the date when such person discovers, or with the exercise of reasonable diligence, should have discovered such medical injury, whichever last occurs: </w:t>
      </w:r>
      <w:r w:rsidRPr="00FA520F">
        <w:rPr>
          <w:i/>
        </w:rPr>
        <w:t>Provided</w:t>
      </w:r>
      <w:r w:rsidRPr="009630A7">
        <w:rPr>
          <w:iCs/>
        </w:rPr>
        <w:t>,</w:t>
      </w:r>
      <w:r w:rsidRPr="009630A7">
        <w:t xml:space="preserve"> That in no event shall any such action be commenced more than 10 years after the date of medical injury.</w:t>
      </w:r>
    </w:p>
    <w:p w14:paraId="7A5731E5" w14:textId="2825D2C5" w:rsidR="002506CD" w:rsidRPr="009630A7" w:rsidRDefault="002506CD" w:rsidP="00765559">
      <w:pPr>
        <w:pStyle w:val="SectionBody"/>
        <w:rPr>
          <w:iCs/>
        </w:rPr>
      </w:pPr>
      <w:r w:rsidRPr="009630A7">
        <w:t xml:space="preserve">(b) A cause of action for medical injury to a person alleging medical professional liability against a nursing home, assisted living facility, their related entities or employees, or a distinct part of an acute care hospital providing intermediate care or skilled nursing care or its employees arises as of the date of medical injury, except as provided in subsection (c) of this section, and must be commenced within one year of the date of such medical injury, or within one year of the date when such person discovers, or with the exercise of reasonable diligence, should have discovered such injury or death, whichever last occurs: </w:t>
      </w:r>
      <w:r w:rsidRPr="00FA520F">
        <w:rPr>
          <w:i/>
          <w:iCs/>
        </w:rPr>
        <w:t>Provided</w:t>
      </w:r>
      <w:r w:rsidRPr="009630A7">
        <w:t xml:space="preserve">, That in no event shall any such action be commenced more than 10 years after the date of medical injury. With the amendments to this subsection enacted in the regular session of the Legislature, 2022, that intends to reinstate and codify a one-year statute of limitations for any </w:t>
      </w:r>
      <w:bookmarkStart w:id="2" w:name="_Hlk94694284"/>
      <w:r w:rsidRPr="009630A7">
        <w:t>cause of action for medical injury resulting in injury or death to a person alleging medical professional liability</w:t>
      </w:r>
      <w:bookmarkEnd w:id="2"/>
      <w:r w:rsidRPr="009630A7">
        <w:t xml:space="preserve"> against a nursing home, assisted living facility, their related entities or employees or a distinct part of an acute care hospital providing intermediate care or skilled nursing care or its employees. </w:t>
      </w:r>
    </w:p>
    <w:p w14:paraId="7E22234B" w14:textId="77777777" w:rsidR="002506CD" w:rsidRPr="009630A7" w:rsidRDefault="002506CD" w:rsidP="00765559">
      <w:pPr>
        <w:pStyle w:val="SectionBody"/>
      </w:pPr>
      <w:r w:rsidRPr="009630A7">
        <w:t xml:space="preserve">(c) A cause </w:t>
      </w:r>
      <w:proofErr w:type="gramStart"/>
      <w:r w:rsidRPr="009630A7">
        <w:t>of action for</w:t>
      </w:r>
      <w:proofErr w:type="gramEnd"/>
      <w:r w:rsidRPr="009630A7">
        <w:t xml:space="preserve"> injury to a minor, brought by or on behalf of a minor who was under the age of 10 years at the time of such injury, shall be commenced within two years of the date of such injury, or prior to the minor’s 12th birthday, whichever provides the longer period.</w:t>
      </w:r>
    </w:p>
    <w:p w14:paraId="7EB0F3FF" w14:textId="77777777" w:rsidR="002506CD" w:rsidRPr="009630A7" w:rsidRDefault="002506CD" w:rsidP="00765559">
      <w:pPr>
        <w:pStyle w:val="SectionBody"/>
      </w:pPr>
      <w:r w:rsidRPr="009630A7">
        <w:lastRenderedPageBreak/>
        <w:t>(d) The periods of limitation set forth in this section shall be tolled for any period during which the health care provider or its representative has committed fraud or collusion by concealing or misrepresenting material facts about the injury.</w:t>
      </w:r>
    </w:p>
    <w:p w14:paraId="1C63E156" w14:textId="0CC018AE" w:rsidR="002506CD" w:rsidRDefault="002506CD" w:rsidP="002506CD">
      <w:pPr>
        <w:pStyle w:val="SectionBody"/>
      </w:pPr>
      <w:r w:rsidRPr="009630A7">
        <w:t>(e) Any medical professional liability action against a nursing home, assisted living facility, related entity or employee, or a distinct part of an acute care hospital providing intermediate care or skilled nursing care or its employees shall be brought in the circuit court of the county in which the nursing home, assisted living facility, or acute care hospital providing intermediate care or skilled nursing care, at which the alleged act of medical professional liability occurred is located, unless otherwise agreed upon by the nursing home, assisted living facility, related entity, or a distinct part of an acute care hospital providing intermediate care or skilled nursing care, and the plaintiff. Nothing in this subsection shall prohibit a party from removing the action to federal court.</w:t>
      </w:r>
    </w:p>
    <w:p w14:paraId="3B309752" w14:textId="7195BFA2" w:rsidR="00396480" w:rsidRPr="00396480" w:rsidRDefault="00396480" w:rsidP="00EF07C5">
      <w:pPr>
        <w:pStyle w:val="SectionBody"/>
        <w:rPr>
          <w:u w:val="single"/>
        </w:rPr>
      </w:pPr>
      <w:r w:rsidRPr="00396480">
        <w:rPr>
          <w:u w:val="single"/>
        </w:rPr>
        <w:t>(f)</w:t>
      </w:r>
      <w:r>
        <w:rPr>
          <w:u w:val="single"/>
        </w:rPr>
        <w:t>(</w:t>
      </w:r>
      <w:r w:rsidR="00EF07C5">
        <w:rPr>
          <w:u w:val="single"/>
        </w:rPr>
        <w:t>1</w:t>
      </w:r>
      <w:r>
        <w:rPr>
          <w:u w:val="single"/>
        </w:rPr>
        <w:t>)</w:t>
      </w:r>
      <w:r w:rsidRPr="00396480">
        <w:rPr>
          <w:u w:val="single"/>
        </w:rPr>
        <w:t xml:space="preserve"> Unless the context requires otherwise, the definitions provided in §30-3-20</w:t>
      </w:r>
      <w:r w:rsidR="00EF07C5">
        <w:rPr>
          <w:u w:val="single"/>
        </w:rPr>
        <w:t xml:space="preserve"> of this code </w:t>
      </w:r>
      <w:r w:rsidRPr="00396480">
        <w:rPr>
          <w:u w:val="single"/>
        </w:rPr>
        <w:t>apply in this subsection.</w:t>
      </w:r>
      <w:r>
        <w:rPr>
          <w:u w:val="single"/>
        </w:rPr>
        <w:t xml:space="preserve"> </w:t>
      </w:r>
    </w:p>
    <w:p w14:paraId="03DE26BC" w14:textId="1B9178BF" w:rsidR="00396480" w:rsidRPr="00396480" w:rsidRDefault="00396480" w:rsidP="00396480">
      <w:pPr>
        <w:pStyle w:val="SectionBody"/>
        <w:rPr>
          <w:u w:val="single"/>
        </w:rPr>
      </w:pPr>
      <w:r>
        <w:rPr>
          <w:u w:val="single"/>
        </w:rPr>
        <w:t>(</w:t>
      </w:r>
      <w:r w:rsidR="00EF07C5">
        <w:rPr>
          <w:u w:val="single"/>
        </w:rPr>
        <w:t>2</w:t>
      </w:r>
      <w:r>
        <w:rPr>
          <w:u w:val="single"/>
        </w:rPr>
        <w:t>)</w:t>
      </w:r>
      <w:r w:rsidRPr="00396480">
        <w:rPr>
          <w:u w:val="single"/>
        </w:rPr>
        <w:t xml:space="preserve"> Unless an action is brought pursuant to §30-3-20(f)</w:t>
      </w:r>
      <w:r w:rsidR="00EF07C5">
        <w:rPr>
          <w:u w:val="single"/>
        </w:rPr>
        <w:t xml:space="preserve"> of this code</w:t>
      </w:r>
      <w:r w:rsidRPr="00396480">
        <w:rPr>
          <w:u w:val="single"/>
        </w:rPr>
        <w:t>, a cause of action for medical injury to a person alleging professional injury against a health care provider under §55-7B</w:t>
      </w:r>
      <w:r w:rsidR="00EF07C5">
        <w:rPr>
          <w:u w:val="single"/>
        </w:rPr>
        <w:t xml:space="preserve">-1 </w:t>
      </w:r>
      <w:r w:rsidR="00EF07C5" w:rsidRPr="00EF07C5">
        <w:rPr>
          <w:i/>
          <w:iCs/>
          <w:u w:val="single"/>
        </w:rPr>
        <w:t>et seq.</w:t>
      </w:r>
      <w:r w:rsidRPr="00396480">
        <w:rPr>
          <w:u w:val="single"/>
        </w:rPr>
        <w:t xml:space="preserve"> arising out of the performance of or failure to perform services while in the course of facilitating or</w:t>
      </w:r>
      <w:r>
        <w:rPr>
          <w:u w:val="single"/>
        </w:rPr>
        <w:t xml:space="preserve"> </w:t>
      </w:r>
      <w:r w:rsidRPr="00396480">
        <w:rPr>
          <w:u w:val="single"/>
        </w:rPr>
        <w:t xml:space="preserve">perpetuating gender reassignment surgery, gender altering medication, or other gender transition services must be commenced within 20 years from the time of discovery by the injured party of both the injury and the causal relationship between the treatment and the injury. The provisions of </w:t>
      </w:r>
      <w:r w:rsidR="00EF07C5">
        <w:rPr>
          <w:u w:val="single"/>
        </w:rPr>
        <w:t xml:space="preserve">this subdivision </w:t>
      </w:r>
      <w:r w:rsidRPr="00396480">
        <w:rPr>
          <w:u w:val="single"/>
        </w:rPr>
        <w:t xml:space="preserve">are intended to extend the statute of limitations for all such actions </w:t>
      </w:r>
      <w:proofErr w:type="gramStart"/>
      <w:r w:rsidRPr="00396480">
        <w:rPr>
          <w:u w:val="single"/>
        </w:rPr>
        <w:t>whether or not</w:t>
      </w:r>
      <w:proofErr w:type="gramEnd"/>
      <w:r w:rsidRPr="00396480">
        <w:rPr>
          <w:u w:val="single"/>
        </w:rPr>
        <w:t xml:space="preserve"> an earlier established period of limitations has expired. </w:t>
      </w:r>
    </w:p>
    <w:p w14:paraId="4D730CB7" w14:textId="72E4E3F4" w:rsidR="00396480" w:rsidRPr="00396480" w:rsidRDefault="00396480" w:rsidP="00396480">
      <w:pPr>
        <w:pStyle w:val="SectionBody"/>
        <w:rPr>
          <w:u w:val="single"/>
        </w:rPr>
      </w:pPr>
      <w:r>
        <w:rPr>
          <w:u w:val="single"/>
        </w:rPr>
        <w:t>(</w:t>
      </w:r>
      <w:r w:rsidR="00EF07C5">
        <w:rPr>
          <w:u w:val="single"/>
        </w:rPr>
        <w:t>3</w:t>
      </w:r>
      <w:r>
        <w:rPr>
          <w:u w:val="single"/>
        </w:rPr>
        <w:t>)</w:t>
      </w:r>
      <w:r w:rsidRPr="00396480">
        <w:rPr>
          <w:u w:val="single"/>
        </w:rPr>
        <w:t xml:space="preserve"> For a health care provider’s liability arising out of the performance of or failure to perform services while in the course of facilitating or perpetuating gender reassignment surgery, gender altering medication, or other gender transition services, any purported waiver of such liability by an injured party shall be contrary to the public policy of this State, null and void, and unenforceable.</w:t>
      </w:r>
    </w:p>
    <w:p w14:paraId="1F470A7B" w14:textId="3B3351AF" w:rsidR="00396480" w:rsidRPr="00396480" w:rsidRDefault="00EF07C5" w:rsidP="00396480">
      <w:pPr>
        <w:pStyle w:val="SectionBody"/>
        <w:rPr>
          <w:u w:val="single"/>
        </w:rPr>
      </w:pPr>
      <w:r>
        <w:rPr>
          <w:u w:val="single"/>
        </w:rPr>
        <w:lastRenderedPageBreak/>
        <w:t>(4)</w:t>
      </w:r>
      <w:r w:rsidR="00396480" w:rsidRPr="00396480">
        <w:rPr>
          <w:u w:val="single"/>
        </w:rPr>
        <w:t xml:space="preserve"> It is the intent of the legislature that §55-7B-6 </w:t>
      </w:r>
      <w:r>
        <w:rPr>
          <w:u w:val="single"/>
        </w:rPr>
        <w:t xml:space="preserve">and </w:t>
      </w:r>
      <w:r w:rsidR="00396480" w:rsidRPr="00396480">
        <w:rPr>
          <w:u w:val="single"/>
        </w:rPr>
        <w:t xml:space="preserve">§55-7B-8 </w:t>
      </w:r>
      <w:r>
        <w:rPr>
          <w:u w:val="single"/>
        </w:rPr>
        <w:t xml:space="preserve">of this code </w:t>
      </w:r>
      <w:r w:rsidR="00396480" w:rsidRPr="00396480">
        <w:rPr>
          <w:u w:val="single"/>
        </w:rPr>
        <w:t xml:space="preserve">are not applicable to causes of </w:t>
      </w:r>
      <w:r w:rsidR="00396480">
        <w:rPr>
          <w:u w:val="single"/>
        </w:rPr>
        <w:t>action</w:t>
      </w:r>
      <w:r w:rsidR="00396480" w:rsidRPr="00396480">
        <w:rPr>
          <w:u w:val="single"/>
        </w:rPr>
        <w:t xml:space="preserve"> for medical injury to a person alleging professional injury against a health care provider under §55-7B</w:t>
      </w:r>
      <w:r w:rsidR="00090084" w:rsidRPr="00EF07C5">
        <w:rPr>
          <w:color w:val="auto"/>
          <w:u w:val="single"/>
        </w:rPr>
        <w:t xml:space="preserve">-1 </w:t>
      </w:r>
      <w:r w:rsidR="00090084" w:rsidRPr="00EF07C5">
        <w:rPr>
          <w:i/>
          <w:iCs/>
          <w:color w:val="auto"/>
          <w:u w:val="single"/>
        </w:rPr>
        <w:t>et seq.</w:t>
      </w:r>
      <w:r w:rsidR="00396480" w:rsidRPr="00EF07C5">
        <w:rPr>
          <w:color w:val="auto"/>
          <w:u w:val="single"/>
        </w:rPr>
        <w:t xml:space="preserve"> </w:t>
      </w:r>
      <w:r w:rsidR="00396480" w:rsidRPr="00396480">
        <w:rPr>
          <w:u w:val="single"/>
        </w:rPr>
        <w:t>arising out of the performance of or failure to perform services while in the course of facilita</w:t>
      </w:r>
      <w:r w:rsidR="00396480">
        <w:rPr>
          <w:u w:val="single"/>
        </w:rPr>
        <w:t>ting</w:t>
      </w:r>
      <w:r w:rsidR="00396480" w:rsidRPr="00396480">
        <w:rPr>
          <w:u w:val="single"/>
        </w:rPr>
        <w:t xml:space="preserve"> or perpetua</w:t>
      </w:r>
      <w:r w:rsidR="00396480">
        <w:rPr>
          <w:u w:val="single"/>
        </w:rPr>
        <w:t>ting</w:t>
      </w:r>
      <w:r w:rsidR="00396480" w:rsidRPr="00396480">
        <w:rPr>
          <w:u w:val="single"/>
        </w:rPr>
        <w:t xml:space="preserve"> gender reassignment surgery, gender altering medication or other gender transition services.</w:t>
      </w:r>
    </w:p>
    <w:p w14:paraId="1FF4194B" w14:textId="050C17E5" w:rsidR="00396480" w:rsidRPr="00396480" w:rsidRDefault="00EF07C5" w:rsidP="00396480">
      <w:pPr>
        <w:pStyle w:val="SectionBody"/>
        <w:rPr>
          <w:u w:val="single"/>
        </w:rPr>
      </w:pPr>
      <w:r>
        <w:rPr>
          <w:u w:val="single"/>
        </w:rPr>
        <w:t xml:space="preserve">(5) </w:t>
      </w:r>
      <w:r w:rsidR="00396480" w:rsidRPr="00396480">
        <w:rPr>
          <w:u w:val="single"/>
        </w:rPr>
        <w:t xml:space="preserve">This </w:t>
      </w:r>
      <w:r w:rsidR="00396480">
        <w:rPr>
          <w:u w:val="single"/>
        </w:rPr>
        <w:t>section</w:t>
      </w:r>
      <w:r w:rsidR="00396480" w:rsidRPr="00396480">
        <w:rPr>
          <w:u w:val="single"/>
        </w:rPr>
        <w:t xml:space="preserve"> is </w:t>
      </w:r>
      <w:r w:rsidR="00396480">
        <w:rPr>
          <w:u w:val="single"/>
        </w:rPr>
        <w:t>effective</w:t>
      </w:r>
      <w:r w:rsidR="00396480" w:rsidRPr="00396480">
        <w:rPr>
          <w:u w:val="single"/>
        </w:rPr>
        <w:t xml:space="preserve"> when it becomes law and applies to causes of </w:t>
      </w:r>
      <w:r w:rsidR="00FD4BBA">
        <w:rPr>
          <w:u w:val="single"/>
        </w:rPr>
        <w:t>action</w:t>
      </w:r>
      <w:r w:rsidR="00396480" w:rsidRPr="00396480">
        <w:rPr>
          <w:u w:val="single"/>
        </w:rPr>
        <w:t xml:space="preserve"> accruing on, a</w:t>
      </w:r>
      <w:r w:rsidR="00FD4BBA">
        <w:rPr>
          <w:u w:val="single"/>
        </w:rPr>
        <w:t>ft</w:t>
      </w:r>
      <w:r w:rsidR="00396480" w:rsidRPr="00396480">
        <w:rPr>
          <w:u w:val="single"/>
        </w:rPr>
        <w:t>er, or to the extent not otherwise prohibited by law, before that date. This sub</w:t>
      </w:r>
      <w:r w:rsidR="00FD4BBA">
        <w:rPr>
          <w:u w:val="single"/>
        </w:rPr>
        <w:t>section</w:t>
      </w:r>
      <w:r w:rsidR="00396480">
        <w:rPr>
          <w:u w:val="single"/>
        </w:rPr>
        <w:t xml:space="preserve"> </w:t>
      </w:r>
      <w:r w:rsidR="00396480" w:rsidRPr="00396480">
        <w:rPr>
          <w:u w:val="single"/>
        </w:rPr>
        <w:t xml:space="preserve">revives any cause of </w:t>
      </w:r>
      <w:r w:rsidR="004D4AFF">
        <w:rPr>
          <w:u w:val="single"/>
        </w:rPr>
        <w:t>action</w:t>
      </w:r>
      <w:r w:rsidR="00396480" w:rsidRPr="00396480">
        <w:rPr>
          <w:u w:val="single"/>
        </w:rPr>
        <w:t xml:space="preserve"> arising out of the performance of or failure to perform services while in the course of </w:t>
      </w:r>
      <w:r w:rsidR="004D4AFF">
        <w:rPr>
          <w:u w:val="single"/>
        </w:rPr>
        <w:t>facilitating</w:t>
      </w:r>
      <w:r w:rsidR="00396480" w:rsidRPr="00396480">
        <w:rPr>
          <w:u w:val="single"/>
        </w:rPr>
        <w:t xml:space="preserve"> or </w:t>
      </w:r>
      <w:r w:rsidR="004D4AFF">
        <w:rPr>
          <w:u w:val="single"/>
        </w:rPr>
        <w:t>perpetuating</w:t>
      </w:r>
      <w:r w:rsidR="00396480" w:rsidRPr="00396480">
        <w:rPr>
          <w:u w:val="single"/>
        </w:rPr>
        <w:t xml:space="preserve"> gender reassignment surgery, gender altering medication or other gender transition services otherwise </w:t>
      </w:r>
      <w:r w:rsidR="004D4AFF">
        <w:rPr>
          <w:u w:val="single"/>
        </w:rPr>
        <w:t>time-b</w:t>
      </w:r>
      <w:r w:rsidR="00396480" w:rsidRPr="00396480">
        <w:rPr>
          <w:u w:val="single"/>
        </w:rPr>
        <w:t>arred under §55-7B</w:t>
      </w:r>
      <w:r w:rsidR="00090084">
        <w:rPr>
          <w:u w:val="single"/>
        </w:rPr>
        <w:t>-</w:t>
      </w:r>
      <w:r w:rsidR="00090084" w:rsidRPr="00EF07C5">
        <w:rPr>
          <w:color w:val="auto"/>
          <w:u w:val="single"/>
        </w:rPr>
        <w:t xml:space="preserve">1 </w:t>
      </w:r>
      <w:r w:rsidR="00090084" w:rsidRPr="00EF07C5">
        <w:rPr>
          <w:i/>
          <w:iCs/>
          <w:color w:val="auto"/>
          <w:u w:val="single"/>
        </w:rPr>
        <w:t>et seq</w:t>
      </w:r>
      <w:r w:rsidR="00090084" w:rsidRPr="00EF07C5">
        <w:rPr>
          <w:color w:val="auto"/>
          <w:u w:val="single"/>
        </w:rPr>
        <w:t>.</w:t>
      </w:r>
      <w:r w:rsidR="00396480" w:rsidRPr="00EF07C5">
        <w:rPr>
          <w:color w:val="auto"/>
          <w:u w:val="single"/>
        </w:rPr>
        <w:t xml:space="preserve">, </w:t>
      </w:r>
      <w:r w:rsidR="00396480" w:rsidRPr="00396480">
        <w:rPr>
          <w:u w:val="single"/>
        </w:rPr>
        <w:t xml:space="preserve">whether or not such cause of </w:t>
      </w:r>
      <w:r w:rsidR="004D4AFF">
        <w:rPr>
          <w:u w:val="single"/>
        </w:rPr>
        <w:t>action</w:t>
      </w:r>
      <w:r w:rsidR="00396480" w:rsidRPr="00396480">
        <w:rPr>
          <w:u w:val="single"/>
        </w:rPr>
        <w:t xml:space="preserve"> has been asserted in a pending civil </w:t>
      </w:r>
      <w:r w:rsidR="004D4AFF">
        <w:rPr>
          <w:u w:val="single"/>
        </w:rPr>
        <w:t>action</w:t>
      </w:r>
      <w:r w:rsidR="00396480" w:rsidRPr="00396480">
        <w:rPr>
          <w:u w:val="single"/>
        </w:rPr>
        <w:t xml:space="preserve"> or appeal.</w:t>
      </w:r>
    </w:p>
    <w:p w14:paraId="39396300" w14:textId="5D1E11B6" w:rsidR="00396480" w:rsidRPr="00396480" w:rsidRDefault="00EF07C5" w:rsidP="00396480">
      <w:pPr>
        <w:pStyle w:val="SectionBody"/>
        <w:rPr>
          <w:u w:val="single"/>
        </w:rPr>
      </w:pPr>
      <w:r>
        <w:rPr>
          <w:u w:val="single"/>
        </w:rPr>
        <w:t>(6)</w:t>
      </w:r>
      <w:r w:rsidR="00396480" w:rsidRPr="00396480">
        <w:rPr>
          <w:u w:val="single"/>
        </w:rPr>
        <w:t xml:space="preserve"> If a provision of this sub</w:t>
      </w:r>
      <w:r w:rsidR="004D4AFF">
        <w:rPr>
          <w:u w:val="single"/>
        </w:rPr>
        <w:t>section</w:t>
      </w:r>
      <w:r w:rsidR="00396480" w:rsidRPr="00396480">
        <w:rPr>
          <w:u w:val="single"/>
        </w:rPr>
        <w:t xml:space="preserve"> or its </w:t>
      </w:r>
      <w:r w:rsidR="004D4AFF">
        <w:rPr>
          <w:u w:val="single"/>
        </w:rPr>
        <w:t>application</w:t>
      </w:r>
      <w:r w:rsidR="00396480" w:rsidRPr="00396480">
        <w:rPr>
          <w:u w:val="single"/>
        </w:rPr>
        <w:t xml:space="preserve"> to any person or circumstance is held</w:t>
      </w:r>
      <w:r w:rsidR="00396480">
        <w:rPr>
          <w:u w:val="single"/>
        </w:rPr>
        <w:t xml:space="preserve"> </w:t>
      </w:r>
      <w:r w:rsidR="004D4AFF">
        <w:rPr>
          <w:u w:val="single"/>
        </w:rPr>
        <w:t>unconstitutional</w:t>
      </w:r>
      <w:r w:rsidR="00396480" w:rsidRPr="00396480">
        <w:rPr>
          <w:u w:val="single"/>
        </w:rPr>
        <w:t xml:space="preserve"> or otherwise invalid, such invalidity or </w:t>
      </w:r>
      <w:r w:rsidR="004D4AFF">
        <w:rPr>
          <w:u w:val="single"/>
        </w:rPr>
        <w:t>unconstitutionality</w:t>
      </w:r>
      <w:r w:rsidR="00396480" w:rsidRPr="00396480">
        <w:rPr>
          <w:u w:val="single"/>
        </w:rPr>
        <w:t xml:space="preserve"> does not affect other</w:t>
      </w:r>
      <w:r w:rsidR="00396480">
        <w:rPr>
          <w:u w:val="single"/>
        </w:rPr>
        <w:t xml:space="preserve"> </w:t>
      </w:r>
      <w:r w:rsidR="00396480" w:rsidRPr="00396480">
        <w:rPr>
          <w:u w:val="single"/>
        </w:rPr>
        <w:t xml:space="preserve">provisions or </w:t>
      </w:r>
      <w:r w:rsidR="004D4AFF">
        <w:rPr>
          <w:u w:val="single"/>
        </w:rPr>
        <w:t>applications</w:t>
      </w:r>
      <w:r w:rsidR="00396480" w:rsidRPr="00396480">
        <w:rPr>
          <w:u w:val="single"/>
        </w:rPr>
        <w:t xml:space="preserve"> of the </w:t>
      </w:r>
      <w:r w:rsidR="004D4AFF">
        <w:rPr>
          <w:u w:val="single"/>
        </w:rPr>
        <w:t>section</w:t>
      </w:r>
      <w:r w:rsidR="00396480" w:rsidRPr="00396480">
        <w:rPr>
          <w:u w:val="single"/>
        </w:rPr>
        <w:t xml:space="preserve"> that can be given effect without the </w:t>
      </w:r>
      <w:r w:rsidR="004D4AFF">
        <w:rPr>
          <w:u w:val="single"/>
        </w:rPr>
        <w:t>unconstitutional</w:t>
      </w:r>
      <w:r w:rsidR="00396480">
        <w:rPr>
          <w:u w:val="single"/>
        </w:rPr>
        <w:t xml:space="preserve"> </w:t>
      </w:r>
      <w:r w:rsidR="00396480" w:rsidRPr="00396480">
        <w:rPr>
          <w:u w:val="single"/>
        </w:rPr>
        <w:t xml:space="preserve">or invalid provision or </w:t>
      </w:r>
      <w:r w:rsidR="004D4AFF">
        <w:rPr>
          <w:u w:val="single"/>
        </w:rPr>
        <w:t>application</w:t>
      </w:r>
      <w:r w:rsidR="00396480" w:rsidRPr="00396480">
        <w:rPr>
          <w:u w:val="single"/>
        </w:rPr>
        <w:t>, and to this end the provisions of this act are severable.</w:t>
      </w:r>
    </w:p>
    <w:p w14:paraId="6805DCE8" w14:textId="77777777" w:rsidR="00C33014" w:rsidRDefault="00C33014" w:rsidP="00CC1F3B">
      <w:pPr>
        <w:pStyle w:val="Note"/>
      </w:pPr>
    </w:p>
    <w:p w14:paraId="43F8924A" w14:textId="15FF38AD" w:rsidR="006865E9" w:rsidRDefault="00CF1DCA" w:rsidP="00CC1F3B">
      <w:pPr>
        <w:pStyle w:val="Note"/>
      </w:pPr>
      <w:r>
        <w:t>NOTE: The</w:t>
      </w:r>
      <w:r w:rsidR="006865E9">
        <w:t xml:space="preserve"> purpose of this bill is to </w:t>
      </w:r>
      <w:r w:rsidR="00F867DC">
        <w:t>clarify parameters for medical malpractice civil actions.</w:t>
      </w:r>
    </w:p>
    <w:p w14:paraId="3210EAD7"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F867D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FB392" w14:textId="77777777" w:rsidR="008D2669" w:rsidRPr="00B844FE" w:rsidRDefault="008D2669" w:rsidP="00B844FE">
      <w:r>
        <w:separator/>
      </w:r>
    </w:p>
  </w:endnote>
  <w:endnote w:type="continuationSeparator" w:id="0">
    <w:p w14:paraId="22A73DA2" w14:textId="77777777" w:rsidR="008D2669" w:rsidRPr="00B844FE" w:rsidRDefault="008D266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F983F4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EBF888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3D5198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83F5D" w14:textId="4F22003D" w:rsidR="00BA0A3A" w:rsidRDefault="00BA0A3A">
    <w:pPr>
      <w:pStyle w:val="Footer"/>
      <w:jc w:val="center"/>
    </w:pPr>
  </w:p>
  <w:p w14:paraId="1774D1DE" w14:textId="77777777" w:rsidR="00F867DC" w:rsidRDefault="00F867D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6912323"/>
      <w:docPartObj>
        <w:docPartGallery w:val="Page Numbers (Bottom of Page)"/>
        <w:docPartUnique/>
      </w:docPartObj>
    </w:sdtPr>
    <w:sdtEndPr>
      <w:rPr>
        <w:noProof/>
      </w:rPr>
    </w:sdtEndPr>
    <w:sdtContent>
      <w:p w14:paraId="7D135C7E" w14:textId="5BA1AA6D" w:rsidR="007F5E70" w:rsidRDefault="007F5E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B4C50" w14:textId="77777777" w:rsidR="008D2669" w:rsidRPr="00B844FE" w:rsidRDefault="008D2669" w:rsidP="00B844FE">
      <w:r>
        <w:separator/>
      </w:r>
    </w:p>
  </w:footnote>
  <w:footnote w:type="continuationSeparator" w:id="0">
    <w:p w14:paraId="637F1481" w14:textId="77777777" w:rsidR="008D2669" w:rsidRPr="00B844FE" w:rsidRDefault="008D266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A066A" w14:textId="77777777" w:rsidR="002A0269" w:rsidRPr="00B844FE" w:rsidRDefault="0021197A">
    <w:pPr>
      <w:pStyle w:val="Header"/>
    </w:pPr>
    <w:sdt>
      <w:sdtPr>
        <w:id w:val="-684364211"/>
        <w:placeholder>
          <w:docPart w:val="DE4E39F3E0384204BE2912D58E03CA1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E4E39F3E0384204BE2912D58E03CA1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51541" w14:textId="5D9A3203"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r w:rsidR="00F867DC">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867DC">
          <w:rPr>
            <w:sz w:val="22"/>
            <w:szCs w:val="22"/>
          </w:rPr>
          <w:t>2026R1770</w:t>
        </w:r>
      </w:sdtContent>
    </w:sdt>
  </w:p>
  <w:p w14:paraId="382D454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6F08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3B8CC" w14:textId="163C5EE6" w:rsidR="007F5E70" w:rsidRPr="004D3ABE" w:rsidRDefault="007F5E70" w:rsidP="00CC1F3B">
    <w:pPr>
      <w:pStyle w:val="HeaderStyle"/>
      <w:rPr>
        <w:sz w:val="22"/>
        <w:szCs w:val="22"/>
      </w:rPr>
    </w:pPr>
    <w:proofErr w:type="spellStart"/>
    <w:r w:rsidRPr="00686E9A">
      <w:rPr>
        <w:sz w:val="22"/>
        <w:szCs w:val="22"/>
      </w:rPr>
      <w:t>Intr</w:t>
    </w:r>
    <w:proofErr w:type="spellEnd"/>
    <w:r w:rsidRPr="00686E9A">
      <w:rPr>
        <w:sz w:val="22"/>
        <w:szCs w:val="22"/>
      </w:rPr>
      <w:t xml:space="preserve"> </w:t>
    </w:r>
    <w:r>
      <w:rPr>
        <w:sz w:val="22"/>
        <w:szCs w:val="22"/>
      </w:rPr>
      <w:t>HB</w:t>
    </w:r>
    <w:sdt>
      <w:sdtPr>
        <w:rPr>
          <w:sz w:val="22"/>
          <w:szCs w:val="22"/>
        </w:rPr>
        <w:tag w:val="BNumWH"/>
        <w:id w:val="1720087669"/>
        <w:showingPlcHdr/>
        <w:text/>
      </w:sdtPr>
      <w:sdtEndP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01803861"/>
        <w:text/>
      </w:sdtPr>
      <w:sdtEndPr/>
      <w:sdtContent>
        <w:r>
          <w:rPr>
            <w:sz w:val="22"/>
            <w:szCs w:val="22"/>
          </w:rPr>
          <w:t>2026R1770</w:t>
        </w:r>
      </w:sdtContent>
    </w:sdt>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669"/>
    <w:rsid w:val="0000526A"/>
    <w:rsid w:val="00041D6F"/>
    <w:rsid w:val="000573A9"/>
    <w:rsid w:val="00085D22"/>
    <w:rsid w:val="00090084"/>
    <w:rsid w:val="00093AB0"/>
    <w:rsid w:val="000C5C77"/>
    <w:rsid w:val="000E3912"/>
    <w:rsid w:val="0010070F"/>
    <w:rsid w:val="001104B7"/>
    <w:rsid w:val="0012355E"/>
    <w:rsid w:val="0015112E"/>
    <w:rsid w:val="001552E7"/>
    <w:rsid w:val="001566B4"/>
    <w:rsid w:val="001A66B7"/>
    <w:rsid w:val="001C279E"/>
    <w:rsid w:val="001D459E"/>
    <w:rsid w:val="0020151F"/>
    <w:rsid w:val="0021197A"/>
    <w:rsid w:val="00211F02"/>
    <w:rsid w:val="0022348D"/>
    <w:rsid w:val="002506CD"/>
    <w:rsid w:val="0027011C"/>
    <w:rsid w:val="00274200"/>
    <w:rsid w:val="00275740"/>
    <w:rsid w:val="002A0269"/>
    <w:rsid w:val="002A6825"/>
    <w:rsid w:val="00303684"/>
    <w:rsid w:val="003143F5"/>
    <w:rsid w:val="00314854"/>
    <w:rsid w:val="00383F11"/>
    <w:rsid w:val="00394191"/>
    <w:rsid w:val="00396480"/>
    <w:rsid w:val="003C51CD"/>
    <w:rsid w:val="003C6034"/>
    <w:rsid w:val="00400B5C"/>
    <w:rsid w:val="00424C26"/>
    <w:rsid w:val="004368E0"/>
    <w:rsid w:val="004C13DD"/>
    <w:rsid w:val="004D3ABE"/>
    <w:rsid w:val="004D4AFF"/>
    <w:rsid w:val="004E3441"/>
    <w:rsid w:val="00500579"/>
    <w:rsid w:val="00572702"/>
    <w:rsid w:val="005A5366"/>
    <w:rsid w:val="005D62AB"/>
    <w:rsid w:val="006369EB"/>
    <w:rsid w:val="00637E73"/>
    <w:rsid w:val="00654C06"/>
    <w:rsid w:val="006865E9"/>
    <w:rsid w:val="00686E9A"/>
    <w:rsid w:val="00691F3E"/>
    <w:rsid w:val="00694BFB"/>
    <w:rsid w:val="006A106B"/>
    <w:rsid w:val="006C523D"/>
    <w:rsid w:val="006D4036"/>
    <w:rsid w:val="0071526E"/>
    <w:rsid w:val="00766AD0"/>
    <w:rsid w:val="007A5259"/>
    <w:rsid w:val="007A7081"/>
    <w:rsid w:val="007B1C1F"/>
    <w:rsid w:val="007E14FD"/>
    <w:rsid w:val="007F1CF5"/>
    <w:rsid w:val="007F5E70"/>
    <w:rsid w:val="00834EDE"/>
    <w:rsid w:val="008736AA"/>
    <w:rsid w:val="008D2669"/>
    <w:rsid w:val="008D275D"/>
    <w:rsid w:val="00935545"/>
    <w:rsid w:val="00946186"/>
    <w:rsid w:val="00964297"/>
    <w:rsid w:val="00972792"/>
    <w:rsid w:val="00980327"/>
    <w:rsid w:val="00986478"/>
    <w:rsid w:val="009B5557"/>
    <w:rsid w:val="009F1067"/>
    <w:rsid w:val="00A20C6B"/>
    <w:rsid w:val="00A31E01"/>
    <w:rsid w:val="00A527AD"/>
    <w:rsid w:val="00A718CF"/>
    <w:rsid w:val="00AA069B"/>
    <w:rsid w:val="00AC4A5F"/>
    <w:rsid w:val="00AE48A0"/>
    <w:rsid w:val="00AE61BE"/>
    <w:rsid w:val="00B16F25"/>
    <w:rsid w:val="00B24422"/>
    <w:rsid w:val="00B66B81"/>
    <w:rsid w:val="00B71E6F"/>
    <w:rsid w:val="00B80C20"/>
    <w:rsid w:val="00B844FE"/>
    <w:rsid w:val="00B86B4F"/>
    <w:rsid w:val="00BA0A3A"/>
    <w:rsid w:val="00BA1F84"/>
    <w:rsid w:val="00BC562B"/>
    <w:rsid w:val="00BD4F21"/>
    <w:rsid w:val="00C33014"/>
    <w:rsid w:val="00C33434"/>
    <w:rsid w:val="00C34869"/>
    <w:rsid w:val="00C42EB6"/>
    <w:rsid w:val="00C62327"/>
    <w:rsid w:val="00C85096"/>
    <w:rsid w:val="00CA2D69"/>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EF07C5"/>
    <w:rsid w:val="00F41CA2"/>
    <w:rsid w:val="00F443C0"/>
    <w:rsid w:val="00F50E13"/>
    <w:rsid w:val="00F62EFB"/>
    <w:rsid w:val="00F867DC"/>
    <w:rsid w:val="00F939A4"/>
    <w:rsid w:val="00FA7B09"/>
    <w:rsid w:val="00FB23D7"/>
    <w:rsid w:val="00FD4BBA"/>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EE9AE"/>
  <w15:chartTrackingRefBased/>
  <w15:docId w15:val="{ED26551D-A740-4318-9CAA-941ADEAF9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3">
    <w:name w:val="heading 3"/>
    <w:basedOn w:val="Normal"/>
    <w:next w:val="Normal"/>
    <w:link w:val="Heading3Char"/>
    <w:uiPriority w:val="9"/>
    <w:semiHidden/>
    <w:unhideWhenUsed/>
    <w:qFormat/>
    <w:locked/>
    <w:rsid w:val="00090084"/>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F867DC"/>
    <w:rPr>
      <w:rFonts w:eastAsia="Calibri"/>
      <w:b/>
      <w:color w:val="000000"/>
    </w:rPr>
  </w:style>
  <w:style w:type="character" w:customStyle="1" w:styleId="SectionBodyChar">
    <w:name w:val="Section Body Char"/>
    <w:link w:val="SectionBody"/>
    <w:rsid w:val="00F867DC"/>
    <w:rPr>
      <w:rFonts w:eastAsia="Calibri"/>
      <w:color w:val="000000"/>
    </w:rPr>
  </w:style>
  <w:style w:type="character" w:customStyle="1" w:styleId="Heading3Char">
    <w:name w:val="Heading 3 Char"/>
    <w:basedOn w:val="DefaultParagraphFont"/>
    <w:link w:val="Heading3"/>
    <w:uiPriority w:val="9"/>
    <w:semiHidden/>
    <w:rsid w:val="00090084"/>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3E2AB1FA7E45BD8B90FAB72635F368"/>
        <w:category>
          <w:name w:val="General"/>
          <w:gallery w:val="placeholder"/>
        </w:category>
        <w:types>
          <w:type w:val="bbPlcHdr"/>
        </w:types>
        <w:behaviors>
          <w:behavior w:val="content"/>
        </w:behaviors>
        <w:guid w:val="{1961ACAD-3323-43AB-919D-F03FC8F5187B}"/>
      </w:docPartPr>
      <w:docPartBody>
        <w:p w:rsidR="00DD6538" w:rsidRDefault="00DD6538">
          <w:pPr>
            <w:pStyle w:val="EA3E2AB1FA7E45BD8B90FAB72635F368"/>
          </w:pPr>
          <w:r w:rsidRPr="00B844FE">
            <w:t>Prefix Text</w:t>
          </w:r>
        </w:p>
      </w:docPartBody>
    </w:docPart>
    <w:docPart>
      <w:docPartPr>
        <w:name w:val="DE4E39F3E0384204BE2912D58E03CA12"/>
        <w:category>
          <w:name w:val="General"/>
          <w:gallery w:val="placeholder"/>
        </w:category>
        <w:types>
          <w:type w:val="bbPlcHdr"/>
        </w:types>
        <w:behaviors>
          <w:behavior w:val="content"/>
        </w:behaviors>
        <w:guid w:val="{4993881A-2FD5-4644-80C8-8306CCF03D36}"/>
      </w:docPartPr>
      <w:docPartBody>
        <w:p w:rsidR="00DD6538" w:rsidRDefault="00DD6538">
          <w:pPr>
            <w:pStyle w:val="DE4E39F3E0384204BE2912D58E03CA12"/>
          </w:pPr>
          <w:r w:rsidRPr="00B844FE">
            <w:t>[Type here]</w:t>
          </w:r>
        </w:p>
      </w:docPartBody>
    </w:docPart>
    <w:docPart>
      <w:docPartPr>
        <w:name w:val="2A507BDEB0CE4545A9A3FF3E78EA2948"/>
        <w:category>
          <w:name w:val="General"/>
          <w:gallery w:val="placeholder"/>
        </w:category>
        <w:types>
          <w:type w:val="bbPlcHdr"/>
        </w:types>
        <w:behaviors>
          <w:behavior w:val="content"/>
        </w:behaviors>
        <w:guid w:val="{6C079307-69A5-4620-B59B-104612A306C8}"/>
      </w:docPartPr>
      <w:docPartBody>
        <w:p w:rsidR="00DD6538" w:rsidRDefault="00DD6538">
          <w:pPr>
            <w:pStyle w:val="2A507BDEB0CE4545A9A3FF3E78EA2948"/>
          </w:pPr>
          <w:r w:rsidRPr="00B844FE">
            <w:t>Number</w:t>
          </w:r>
        </w:p>
      </w:docPartBody>
    </w:docPart>
    <w:docPart>
      <w:docPartPr>
        <w:name w:val="ECD93ABDFC6242359BF0FDF47E50039F"/>
        <w:category>
          <w:name w:val="General"/>
          <w:gallery w:val="placeholder"/>
        </w:category>
        <w:types>
          <w:type w:val="bbPlcHdr"/>
        </w:types>
        <w:behaviors>
          <w:behavior w:val="content"/>
        </w:behaviors>
        <w:guid w:val="{599D88D4-B32D-4BCE-890D-03E077C05E0E}"/>
      </w:docPartPr>
      <w:docPartBody>
        <w:p w:rsidR="00DD6538" w:rsidRDefault="00DD6538">
          <w:pPr>
            <w:pStyle w:val="ECD93ABDFC6242359BF0FDF47E50039F"/>
          </w:pPr>
          <w:r w:rsidRPr="00B844FE">
            <w:t>Enter Sponsors Here</w:t>
          </w:r>
        </w:p>
      </w:docPartBody>
    </w:docPart>
    <w:docPart>
      <w:docPartPr>
        <w:name w:val="1B06ED08EEE44593B9FD02C02DA9889C"/>
        <w:category>
          <w:name w:val="General"/>
          <w:gallery w:val="placeholder"/>
        </w:category>
        <w:types>
          <w:type w:val="bbPlcHdr"/>
        </w:types>
        <w:behaviors>
          <w:behavior w:val="content"/>
        </w:behaviors>
        <w:guid w:val="{83841B8F-3B23-4B11-A99B-69F9B79F173A}"/>
      </w:docPartPr>
      <w:docPartBody>
        <w:p w:rsidR="00DD6538" w:rsidRDefault="00DD6538">
          <w:pPr>
            <w:pStyle w:val="1B06ED08EEE44593B9FD02C02DA9889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538"/>
    <w:rsid w:val="001104B7"/>
    <w:rsid w:val="00383F11"/>
    <w:rsid w:val="00424C26"/>
    <w:rsid w:val="00654C06"/>
    <w:rsid w:val="0071526E"/>
    <w:rsid w:val="007E14FD"/>
    <w:rsid w:val="00A20C6B"/>
    <w:rsid w:val="00AC4A5F"/>
    <w:rsid w:val="00CA2D69"/>
    <w:rsid w:val="00DD6538"/>
    <w:rsid w:val="00F50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A3E2AB1FA7E45BD8B90FAB72635F368">
    <w:name w:val="EA3E2AB1FA7E45BD8B90FAB72635F368"/>
  </w:style>
  <w:style w:type="paragraph" w:customStyle="1" w:styleId="DE4E39F3E0384204BE2912D58E03CA12">
    <w:name w:val="DE4E39F3E0384204BE2912D58E03CA12"/>
  </w:style>
  <w:style w:type="paragraph" w:customStyle="1" w:styleId="2A507BDEB0CE4545A9A3FF3E78EA2948">
    <w:name w:val="2A507BDEB0CE4545A9A3FF3E78EA2948"/>
  </w:style>
  <w:style w:type="paragraph" w:customStyle="1" w:styleId="ECD93ABDFC6242359BF0FDF47E50039F">
    <w:name w:val="ECD93ABDFC6242359BF0FDF47E50039F"/>
  </w:style>
  <w:style w:type="character" w:styleId="PlaceholderText">
    <w:name w:val="Placeholder Text"/>
    <w:basedOn w:val="DefaultParagraphFont"/>
    <w:uiPriority w:val="99"/>
    <w:semiHidden/>
    <w:rPr>
      <w:color w:val="808080"/>
    </w:rPr>
  </w:style>
  <w:style w:type="paragraph" w:customStyle="1" w:styleId="1B06ED08EEE44593B9FD02C02DA9889C">
    <w:name w:val="1B06ED08EEE44593B9FD02C02DA988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TotalTime>
  <Pages>7</Pages>
  <Words>1980</Words>
  <Characters>10637</Characters>
  <Application>Microsoft Office Word</Application>
  <DocSecurity>0</DocSecurity>
  <Lines>163</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Cody Crowder</cp:lastModifiedBy>
  <cp:revision>4</cp:revision>
  <dcterms:created xsi:type="dcterms:W3CDTF">2026-01-13T23:20:00Z</dcterms:created>
  <dcterms:modified xsi:type="dcterms:W3CDTF">2026-01-27T19:55:00Z</dcterms:modified>
</cp:coreProperties>
</file>