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2B81" w14:textId="77777777" w:rsidR="00FE067E" w:rsidRPr="00303CBE" w:rsidRDefault="003C6034" w:rsidP="00CC1F3B">
      <w:pPr>
        <w:pStyle w:val="TitlePageOrigin"/>
        <w:rPr>
          <w:color w:val="auto"/>
        </w:rPr>
      </w:pPr>
      <w:r w:rsidRPr="00303CBE">
        <w:rPr>
          <w:caps w:val="0"/>
          <w:color w:val="auto"/>
        </w:rPr>
        <w:t>WEST VIRGINIA LEGISLATURE</w:t>
      </w:r>
    </w:p>
    <w:p w14:paraId="1138A399" w14:textId="73AE1942" w:rsidR="00CD36CF" w:rsidRPr="00303CBE" w:rsidRDefault="00CD36CF" w:rsidP="00CC1F3B">
      <w:pPr>
        <w:pStyle w:val="TitlePageSession"/>
        <w:rPr>
          <w:color w:val="auto"/>
        </w:rPr>
      </w:pPr>
      <w:r w:rsidRPr="00303CBE">
        <w:rPr>
          <w:color w:val="auto"/>
        </w:rPr>
        <w:t>20</w:t>
      </w:r>
      <w:r w:rsidR="00EC5E63" w:rsidRPr="00303CBE">
        <w:rPr>
          <w:color w:val="auto"/>
        </w:rPr>
        <w:t>2</w:t>
      </w:r>
      <w:r w:rsidR="00927D2C">
        <w:rPr>
          <w:color w:val="auto"/>
        </w:rPr>
        <w:t>6</w:t>
      </w:r>
      <w:r w:rsidRPr="00303CBE">
        <w:rPr>
          <w:color w:val="auto"/>
        </w:rPr>
        <w:t xml:space="preserve"> </w:t>
      </w:r>
      <w:r w:rsidR="003C6034" w:rsidRPr="00303CBE">
        <w:rPr>
          <w:caps w:val="0"/>
          <w:color w:val="auto"/>
        </w:rPr>
        <w:t>REGULAR SESSION</w:t>
      </w:r>
    </w:p>
    <w:p w14:paraId="44E8CCBE" w14:textId="77777777" w:rsidR="00CD36CF" w:rsidRPr="00303CBE" w:rsidRDefault="00794B71" w:rsidP="00CC1F3B">
      <w:pPr>
        <w:pStyle w:val="TitlePageBillPrefix"/>
        <w:rPr>
          <w:color w:val="auto"/>
        </w:rPr>
      </w:pPr>
      <w:sdt>
        <w:sdtPr>
          <w:rPr>
            <w:color w:val="auto"/>
          </w:rPr>
          <w:tag w:val="IntroDate"/>
          <w:id w:val="-1236936958"/>
          <w:placeholder>
            <w:docPart w:val="7F96394BC047466BB11A2CF37ACC7A54"/>
          </w:placeholder>
          <w:text/>
        </w:sdtPr>
        <w:sdtEndPr/>
        <w:sdtContent>
          <w:r w:rsidR="00AE48A0" w:rsidRPr="00303CBE">
            <w:rPr>
              <w:color w:val="auto"/>
            </w:rPr>
            <w:t>Introduced</w:t>
          </w:r>
        </w:sdtContent>
      </w:sdt>
    </w:p>
    <w:p w14:paraId="32037CA7" w14:textId="14F11FB7" w:rsidR="00CD36CF" w:rsidRPr="00303CBE" w:rsidRDefault="00794B71" w:rsidP="00CC1F3B">
      <w:pPr>
        <w:pStyle w:val="BillNumber"/>
        <w:rPr>
          <w:color w:val="auto"/>
        </w:rPr>
      </w:pPr>
      <w:sdt>
        <w:sdtPr>
          <w:rPr>
            <w:color w:val="auto"/>
          </w:rPr>
          <w:tag w:val="Chamber"/>
          <w:id w:val="893011969"/>
          <w:lock w:val="sdtLocked"/>
          <w:placeholder>
            <w:docPart w:val="47D10AC30B7D470EB5DE0ECF34E8D6C5"/>
          </w:placeholder>
          <w:dropDownList>
            <w:listItem w:displayText="House" w:value="House"/>
            <w:listItem w:displayText="Senate" w:value="Senate"/>
          </w:dropDownList>
        </w:sdtPr>
        <w:sdtEndPr/>
        <w:sdtContent>
          <w:r w:rsidR="00C33434" w:rsidRPr="00303CBE">
            <w:rPr>
              <w:color w:val="auto"/>
            </w:rPr>
            <w:t>House</w:t>
          </w:r>
        </w:sdtContent>
      </w:sdt>
      <w:r w:rsidR="00303684" w:rsidRPr="00303CBE">
        <w:rPr>
          <w:color w:val="auto"/>
        </w:rPr>
        <w:t xml:space="preserve"> </w:t>
      </w:r>
      <w:r w:rsidR="00CD36CF" w:rsidRPr="00303CBE">
        <w:rPr>
          <w:color w:val="auto"/>
        </w:rPr>
        <w:t xml:space="preserve">Bill </w:t>
      </w:r>
      <w:sdt>
        <w:sdtPr>
          <w:rPr>
            <w:color w:val="auto"/>
          </w:rPr>
          <w:tag w:val="BNum"/>
          <w:id w:val="1645317809"/>
          <w:lock w:val="sdtLocked"/>
          <w:placeholder>
            <w:docPart w:val="F94C513B44584F2F95B03AE734329313"/>
          </w:placeholder>
          <w:text/>
        </w:sdtPr>
        <w:sdtEndPr/>
        <w:sdtContent>
          <w:r>
            <w:rPr>
              <w:color w:val="auto"/>
            </w:rPr>
            <w:t>4368</w:t>
          </w:r>
        </w:sdtContent>
      </w:sdt>
    </w:p>
    <w:p w14:paraId="4AD1CE29" w14:textId="3EF4C31B" w:rsidR="00CD36CF" w:rsidRPr="00303CBE" w:rsidRDefault="00CD36CF" w:rsidP="00CC1F3B">
      <w:pPr>
        <w:pStyle w:val="Sponsors"/>
        <w:rPr>
          <w:color w:val="auto"/>
        </w:rPr>
      </w:pPr>
      <w:r w:rsidRPr="00303CBE">
        <w:rPr>
          <w:color w:val="auto"/>
        </w:rPr>
        <w:t xml:space="preserve">By </w:t>
      </w:r>
      <w:sdt>
        <w:sdtPr>
          <w:rPr>
            <w:color w:val="auto"/>
          </w:rPr>
          <w:tag w:val="Sponsors"/>
          <w:id w:val="1589585889"/>
          <w:placeholder>
            <w:docPart w:val="337D0DCDCB2C42A9848235E448950521"/>
          </w:placeholder>
          <w:text w:multiLine="1"/>
        </w:sdtPr>
        <w:sdtEndPr/>
        <w:sdtContent>
          <w:r w:rsidR="00204BBF" w:rsidRPr="00303CBE">
            <w:rPr>
              <w:color w:val="auto"/>
            </w:rPr>
            <w:t>Delegate</w:t>
          </w:r>
          <w:r w:rsidR="008262FD">
            <w:rPr>
              <w:color w:val="auto"/>
            </w:rPr>
            <w:t>s</w:t>
          </w:r>
          <w:r w:rsidR="00204BBF" w:rsidRPr="00303CBE">
            <w:rPr>
              <w:color w:val="auto"/>
            </w:rPr>
            <w:t xml:space="preserve"> </w:t>
          </w:r>
          <w:r w:rsidR="00303CBE" w:rsidRPr="00303CBE">
            <w:rPr>
              <w:color w:val="auto"/>
            </w:rPr>
            <w:t xml:space="preserve">D. </w:t>
          </w:r>
          <w:r w:rsidR="00204BBF" w:rsidRPr="00303CBE">
            <w:rPr>
              <w:color w:val="auto"/>
            </w:rPr>
            <w:t>Smith</w:t>
          </w:r>
          <w:r w:rsidR="00297E9B">
            <w:rPr>
              <w:color w:val="auto"/>
            </w:rPr>
            <w:t>, Hillenbrand, Ridenour, Sheedy, Watt, Marple, Ellington, and Heckert</w:t>
          </w:r>
        </w:sdtContent>
      </w:sdt>
    </w:p>
    <w:p w14:paraId="6DDEDD46" w14:textId="0381E375" w:rsidR="00E831B3" w:rsidRPr="00303CBE" w:rsidRDefault="00CD36CF" w:rsidP="00CC1F3B">
      <w:pPr>
        <w:pStyle w:val="References"/>
        <w:rPr>
          <w:color w:val="auto"/>
        </w:rPr>
      </w:pPr>
      <w:r w:rsidRPr="00303CBE">
        <w:rPr>
          <w:color w:val="auto"/>
        </w:rPr>
        <w:t>[</w:t>
      </w:r>
      <w:sdt>
        <w:sdtPr>
          <w:rPr>
            <w:color w:val="auto"/>
          </w:rPr>
          <w:tag w:val="References"/>
          <w:id w:val="-1043047873"/>
          <w:placeholder>
            <w:docPart w:val="79E6497505FA449CA62E0BDA9445E981"/>
          </w:placeholder>
          <w:text w:multiLine="1"/>
        </w:sdtPr>
        <w:sdtEndPr/>
        <w:sdtContent>
          <w:r w:rsidR="00794B71">
            <w:rPr>
              <w:color w:val="auto"/>
            </w:rPr>
            <w:t>Introduced January 15, 2026; referred to the Committee on Education</w:t>
          </w:r>
        </w:sdtContent>
      </w:sdt>
      <w:r w:rsidRPr="00303CBE">
        <w:rPr>
          <w:color w:val="auto"/>
        </w:rPr>
        <w:t>]</w:t>
      </w:r>
    </w:p>
    <w:p w14:paraId="19DBB33A" w14:textId="42EE8813" w:rsidR="00303684" w:rsidRPr="00303CBE" w:rsidRDefault="0000526A" w:rsidP="00CC1F3B">
      <w:pPr>
        <w:pStyle w:val="TitleSection"/>
        <w:rPr>
          <w:color w:val="auto"/>
        </w:rPr>
      </w:pPr>
      <w:r w:rsidRPr="00303CBE">
        <w:rPr>
          <w:color w:val="auto"/>
        </w:rPr>
        <w:lastRenderedPageBreak/>
        <w:t>A BILL</w:t>
      </w:r>
      <w:r w:rsidR="00204BBF" w:rsidRPr="00303CBE">
        <w:rPr>
          <w:color w:val="auto"/>
        </w:rPr>
        <w:t xml:space="preserve"> amend and reenact §18-</w:t>
      </w:r>
      <w:r w:rsidR="00D449AC" w:rsidRPr="00303CBE">
        <w:rPr>
          <w:color w:val="auto"/>
        </w:rPr>
        <w:t>5</w:t>
      </w:r>
      <w:r w:rsidR="00204BBF" w:rsidRPr="00303CBE">
        <w:rPr>
          <w:color w:val="auto"/>
        </w:rPr>
        <w:t xml:space="preserve">-16 of the Code of West Virginia, 1931, as amended; and to  amend </w:t>
      </w:r>
      <w:r w:rsidR="00927D2C">
        <w:rPr>
          <w:color w:val="auto"/>
        </w:rPr>
        <w:t>the</w:t>
      </w:r>
      <w:r w:rsidR="00204BBF" w:rsidRPr="00303CBE">
        <w:rPr>
          <w:color w:val="auto"/>
        </w:rPr>
        <w:t xml:space="preserve"> code by adding a new article, designated §18-2L-1,</w:t>
      </w:r>
      <w:r w:rsidR="00DB7979" w:rsidRPr="00303CBE">
        <w:rPr>
          <w:color w:val="auto"/>
        </w:rPr>
        <w:t xml:space="preserve"> §18-2L-2,  §18-2L-</w:t>
      </w:r>
      <w:r w:rsidR="00204BBF" w:rsidRPr="00303CBE">
        <w:rPr>
          <w:color w:val="auto"/>
        </w:rPr>
        <w:t>3</w:t>
      </w:r>
      <w:r w:rsidR="00DB7979" w:rsidRPr="00303CBE">
        <w:rPr>
          <w:color w:val="auto"/>
        </w:rPr>
        <w:t xml:space="preserve"> </w:t>
      </w:r>
      <w:r w:rsidR="00204BBF" w:rsidRPr="00303CBE">
        <w:rPr>
          <w:color w:val="auto"/>
        </w:rPr>
        <w:t>,</w:t>
      </w:r>
      <w:r w:rsidR="00DB7979" w:rsidRPr="00303CBE">
        <w:rPr>
          <w:color w:val="auto"/>
        </w:rPr>
        <w:t xml:space="preserve"> §18-2L-</w:t>
      </w:r>
      <w:r w:rsidR="00204BBF" w:rsidRPr="00303CBE">
        <w:rPr>
          <w:color w:val="auto"/>
        </w:rPr>
        <w:t>4,</w:t>
      </w:r>
      <w:r w:rsidR="00DB7979" w:rsidRPr="00303CBE">
        <w:rPr>
          <w:color w:val="auto"/>
        </w:rPr>
        <w:t xml:space="preserve"> </w:t>
      </w:r>
      <w:r w:rsidR="00E13EF8" w:rsidRPr="00303CBE">
        <w:rPr>
          <w:color w:val="auto"/>
        </w:rPr>
        <w:t xml:space="preserve">§18-2L-5, </w:t>
      </w:r>
      <w:r w:rsidR="00DB7979" w:rsidRPr="00303CBE">
        <w:rPr>
          <w:color w:val="auto"/>
        </w:rPr>
        <w:t>§18-2L-</w:t>
      </w:r>
      <w:r w:rsidR="00204BBF" w:rsidRPr="00303CBE">
        <w:rPr>
          <w:color w:val="auto"/>
        </w:rPr>
        <w:t>6,</w:t>
      </w:r>
      <w:r w:rsidR="00DB7979" w:rsidRPr="00303CBE">
        <w:rPr>
          <w:color w:val="auto"/>
        </w:rPr>
        <w:t xml:space="preserve"> §18-2L-</w:t>
      </w:r>
      <w:r w:rsidR="00204BBF" w:rsidRPr="00303CBE">
        <w:rPr>
          <w:color w:val="auto"/>
        </w:rPr>
        <w:t xml:space="preserve">7 and </w:t>
      </w:r>
      <w:r w:rsidR="00DB7979" w:rsidRPr="00303CBE">
        <w:rPr>
          <w:color w:val="auto"/>
        </w:rPr>
        <w:t>§18-2L-</w:t>
      </w:r>
      <w:r w:rsidR="00204BBF" w:rsidRPr="00303CBE">
        <w:rPr>
          <w:color w:val="auto"/>
        </w:rPr>
        <w:t xml:space="preserve">8, relating to </w:t>
      </w:r>
      <w:r w:rsidR="006C6502" w:rsidRPr="00303CBE">
        <w:rPr>
          <w:color w:val="auto"/>
        </w:rPr>
        <w:t xml:space="preserve">military connected students access to education; providing definitions, </w:t>
      </w:r>
      <w:r w:rsidR="00927D2C">
        <w:rPr>
          <w:color w:val="auto"/>
        </w:rPr>
        <w:t xml:space="preserve">clarifying </w:t>
      </w:r>
      <w:r w:rsidR="006C6502" w:rsidRPr="00303CBE">
        <w:rPr>
          <w:color w:val="auto"/>
        </w:rPr>
        <w:t>advance enrollment</w:t>
      </w:r>
      <w:r w:rsidR="00927D2C">
        <w:rPr>
          <w:color w:val="auto"/>
        </w:rPr>
        <w:t xml:space="preserve">; providing student </w:t>
      </w:r>
      <w:r w:rsidR="006C6502" w:rsidRPr="00303CBE">
        <w:rPr>
          <w:color w:val="auto"/>
        </w:rPr>
        <w:t>rights</w:t>
      </w:r>
      <w:r w:rsidR="00927D2C">
        <w:rPr>
          <w:color w:val="auto"/>
        </w:rPr>
        <w:t>; an</w:t>
      </w:r>
      <w:r w:rsidR="006C6502" w:rsidRPr="00303CBE">
        <w:rPr>
          <w:color w:val="auto"/>
        </w:rPr>
        <w:t xml:space="preserve">d </w:t>
      </w:r>
      <w:r w:rsidR="00927D2C">
        <w:rPr>
          <w:color w:val="auto"/>
        </w:rPr>
        <w:t xml:space="preserve">creating </w:t>
      </w:r>
      <w:r w:rsidR="006C6502" w:rsidRPr="00303CBE">
        <w:rPr>
          <w:color w:val="auto"/>
        </w:rPr>
        <w:t>teacher and student support.</w:t>
      </w:r>
    </w:p>
    <w:p w14:paraId="1C778805" w14:textId="77777777" w:rsidR="00303684" w:rsidRPr="00303CBE" w:rsidRDefault="00303684" w:rsidP="00CC1F3B">
      <w:pPr>
        <w:pStyle w:val="EnactingClause"/>
        <w:rPr>
          <w:color w:val="auto"/>
        </w:rPr>
      </w:pPr>
      <w:r w:rsidRPr="00303CBE">
        <w:rPr>
          <w:color w:val="auto"/>
        </w:rPr>
        <w:t>Be it enacted by the Legislature of West Virginia:</w:t>
      </w:r>
    </w:p>
    <w:p w14:paraId="30A9FA63" w14:textId="77777777" w:rsidR="003C6034" w:rsidRPr="00303CBE" w:rsidRDefault="003C6034" w:rsidP="00CC1F3B">
      <w:pPr>
        <w:pStyle w:val="EnactingClause"/>
        <w:rPr>
          <w:color w:val="auto"/>
        </w:rPr>
        <w:sectPr w:rsidR="003C6034" w:rsidRPr="00303CBE" w:rsidSect="00204B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C94CBF" w14:textId="77777777" w:rsidR="00204BBF" w:rsidRPr="00303CBE" w:rsidRDefault="00204BBF" w:rsidP="000A7FB7">
      <w:pPr>
        <w:pStyle w:val="ArticleHeading"/>
        <w:rPr>
          <w:color w:val="auto"/>
          <w:u w:val="single"/>
        </w:rPr>
      </w:pPr>
      <w:r w:rsidRPr="00303CBE">
        <w:rPr>
          <w:color w:val="auto"/>
          <w:u w:val="single"/>
        </w:rPr>
        <w:t>ARTICLE 2L. MILITARY CONNECTED STUDENTS.</w:t>
      </w:r>
    </w:p>
    <w:p w14:paraId="285A12B0" w14:textId="6E09B3B2" w:rsidR="000A7FB7" w:rsidRPr="00303CBE" w:rsidRDefault="00204BBF" w:rsidP="000A7FB7">
      <w:pPr>
        <w:pStyle w:val="SectionHeading"/>
        <w:rPr>
          <w:color w:val="auto"/>
          <w:u w:val="single"/>
        </w:rPr>
        <w:sectPr w:rsidR="000A7FB7" w:rsidRPr="00303CBE" w:rsidSect="00204BBF">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§18-2L-1. Definitions.</w:t>
      </w:r>
    </w:p>
    <w:p w14:paraId="4C4D5F9E" w14:textId="12CF1272" w:rsidR="00204BBF" w:rsidRPr="00303CBE" w:rsidRDefault="00204BBF" w:rsidP="000A7FB7">
      <w:pPr>
        <w:pStyle w:val="SectionBody"/>
        <w:rPr>
          <w:color w:val="auto"/>
          <w:u w:val="single"/>
        </w:rPr>
      </w:pPr>
      <w:r w:rsidRPr="00303CBE">
        <w:rPr>
          <w:color w:val="auto"/>
          <w:u w:val="single"/>
        </w:rPr>
        <w:t>The term "military-connected student" means a student who is an unemancipated person whose parent or guardian is: (</w:t>
      </w:r>
      <w:r w:rsidR="00303CBE" w:rsidRPr="00303CBE">
        <w:rPr>
          <w:color w:val="auto"/>
          <w:u w:val="single"/>
        </w:rPr>
        <w:t>1</w:t>
      </w:r>
      <w:r w:rsidRPr="00303CBE">
        <w:rPr>
          <w:color w:val="auto"/>
          <w:u w:val="single"/>
        </w:rPr>
        <w:t>) a current, reserve, or former member of the United States Army, United States Navy, United States Marine Corps, United States Coast Guard, United States Space Force, Army Nurse Corps, Navy Nurse Corps, United States Air Force, Air National Guard or Army National Guard; or (</w:t>
      </w:r>
      <w:r w:rsidR="00303CBE" w:rsidRPr="00303CBE">
        <w:rPr>
          <w:color w:val="auto"/>
          <w:u w:val="single"/>
        </w:rPr>
        <w:t>2</w:t>
      </w:r>
      <w:r w:rsidRPr="00303CBE">
        <w:rPr>
          <w:color w:val="auto"/>
          <w:u w:val="single"/>
        </w:rPr>
        <w:t>) a member of a military or reserve force under clause (</w:t>
      </w:r>
      <w:r w:rsidR="00D449AC" w:rsidRPr="00303CBE">
        <w:rPr>
          <w:color w:val="auto"/>
          <w:u w:val="single"/>
        </w:rPr>
        <w:t>c</w:t>
      </w:r>
      <w:r w:rsidRPr="00303CBE">
        <w:rPr>
          <w:color w:val="auto"/>
          <w:u w:val="single"/>
        </w:rPr>
        <w:t>i) who was killed in the line of duty.</w:t>
      </w:r>
    </w:p>
    <w:p w14:paraId="3B248793"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§18-2L-2. Advance enrollment.</w:t>
      </w:r>
    </w:p>
    <w:p w14:paraId="4BDD3C9E" w14:textId="6AF70580" w:rsidR="00204BBF" w:rsidRPr="00303CBE" w:rsidRDefault="00204BBF" w:rsidP="000A7FB7">
      <w:pPr>
        <w:pStyle w:val="SectionBody"/>
        <w:rPr>
          <w:color w:val="auto"/>
          <w:u w:val="single"/>
        </w:rPr>
      </w:pPr>
      <w:r w:rsidRPr="00303CBE">
        <w:rPr>
          <w:color w:val="auto"/>
          <w:u w:val="single"/>
        </w:rPr>
        <w:t xml:space="preserve">For the purposes of this article, a military-connected student who is the dependent of either a person in the active military service of the United States, or in a full-time status during active service with a force of the West Virginia </w:t>
      </w:r>
      <w:r w:rsidR="00E4752E" w:rsidRPr="00303CBE">
        <w:rPr>
          <w:color w:val="auto"/>
          <w:u w:val="single"/>
        </w:rPr>
        <w:t>N</w:t>
      </w:r>
      <w:r w:rsidRPr="00303CBE">
        <w:rPr>
          <w:color w:val="auto"/>
          <w:u w:val="single"/>
        </w:rPr>
        <w:t xml:space="preserve">ational </w:t>
      </w:r>
      <w:r w:rsidR="00E4752E" w:rsidRPr="00303CBE">
        <w:rPr>
          <w:color w:val="auto"/>
          <w:u w:val="single"/>
        </w:rPr>
        <w:t>G</w:t>
      </w:r>
      <w:r w:rsidRPr="00303CBE">
        <w:rPr>
          <w:color w:val="auto"/>
          <w:u w:val="single"/>
        </w:rPr>
        <w:t xml:space="preserve">uard, whose parent or guardian is being relocated to the state under military orders and is transferred to or is pending transfer to a military installation within the state, </w:t>
      </w:r>
      <w:r w:rsidR="00D449AC" w:rsidRPr="00303CBE">
        <w:rPr>
          <w:color w:val="auto"/>
          <w:u w:val="single"/>
        </w:rPr>
        <w:t>is</w:t>
      </w:r>
      <w:r w:rsidRPr="00303CBE">
        <w:rPr>
          <w:color w:val="auto"/>
          <w:u w:val="single"/>
        </w:rPr>
        <w:t xml:space="preserve"> a resident for the purposes of enrollment by the receiving public school. The county board of education shall permit military-connected students to enroll preliminarily by remote registration without charge and shall not require the parent or guardian of the military-connected student or the student to physically appear at a location within the county to register the student, if the parent or guardian presents evidence of military orders that a parent or guardian will be stationed in this state during the current or following school year. The parent or guardian may use an address within the county of residence where the military-connected student is to be enrolled, the address of a temporary on-base billeting facility, a purchased or leased home or apartment, or federal government or public-private venture off-base military housing. Proof of required residency </w:t>
      </w:r>
      <w:r w:rsidR="00D449AC" w:rsidRPr="00303CBE">
        <w:rPr>
          <w:color w:val="auto"/>
          <w:u w:val="single"/>
        </w:rPr>
        <w:t>may</w:t>
      </w:r>
      <w:r w:rsidRPr="00303CBE">
        <w:rPr>
          <w:color w:val="auto"/>
          <w:u w:val="single"/>
        </w:rPr>
        <w:t xml:space="preserve"> not be required at the time of the remote registration but shall be required within </w:t>
      </w:r>
      <w:r w:rsidR="00D449AC" w:rsidRPr="00303CBE">
        <w:rPr>
          <w:color w:val="auto"/>
          <w:u w:val="single"/>
        </w:rPr>
        <w:t>10</w:t>
      </w:r>
      <w:r w:rsidRPr="00303CBE">
        <w:rPr>
          <w:color w:val="auto"/>
          <w:u w:val="single"/>
        </w:rPr>
        <w:t xml:space="preserve"> days of the student’s attendance, unless the attendance occurs within the unit count window, where proof of residency </w:t>
      </w:r>
      <w:r w:rsidR="00D449AC" w:rsidRPr="00303CBE">
        <w:rPr>
          <w:color w:val="auto"/>
          <w:u w:val="single"/>
        </w:rPr>
        <w:t>shall</w:t>
      </w:r>
      <w:r w:rsidRPr="00303CBE">
        <w:rPr>
          <w:color w:val="auto"/>
          <w:u w:val="single"/>
        </w:rPr>
        <w:t xml:space="preserve"> be provided prior to the close of unit count. </w:t>
      </w:r>
    </w:p>
    <w:p w14:paraId="357CC478" w14:textId="77777777" w:rsidR="000A7FB7" w:rsidRPr="00303CBE" w:rsidRDefault="000A7FB7"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p>
    <w:p w14:paraId="016B51D1" w14:textId="77777777" w:rsidR="00204BBF" w:rsidRPr="00303CBE" w:rsidRDefault="00204BBF" w:rsidP="000A7FB7">
      <w:pPr>
        <w:pStyle w:val="SectionHeading"/>
        <w:rPr>
          <w:color w:val="auto"/>
          <w:u w:val="single"/>
        </w:rPr>
      </w:pPr>
      <w:r w:rsidRPr="00303CBE">
        <w:rPr>
          <w:color w:val="auto"/>
          <w:u w:val="single"/>
        </w:rPr>
        <w:t>§18-2L-3. Equal rights to educational opportunities.</w:t>
      </w:r>
    </w:p>
    <w:p w14:paraId="0D2E7F4B" w14:textId="77777777" w:rsidR="00204BBF" w:rsidRPr="00303CBE" w:rsidRDefault="00204BBF" w:rsidP="000A7FB7">
      <w:pPr>
        <w:pStyle w:val="SectionBody"/>
        <w:rPr>
          <w:color w:val="auto"/>
          <w:u w:val="single"/>
        </w:rPr>
      </w:pPr>
      <w:r w:rsidRPr="00303CBE">
        <w:rPr>
          <w:color w:val="auto"/>
          <w:u w:val="single"/>
        </w:rPr>
        <w:t>Notwithstanding any other provision of law, military-connected students shall have equitable access to academic courses and programs, and to extracurricular activities, athletic, and social programs.</w:t>
      </w:r>
    </w:p>
    <w:p w14:paraId="3C10A54C"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§18-2L-4. Enrollment timing.</w:t>
      </w:r>
    </w:p>
    <w:p w14:paraId="6EEA9B70" w14:textId="77777777" w:rsidR="00204BBF" w:rsidRPr="00303CBE" w:rsidRDefault="00204BBF" w:rsidP="000A7FB7">
      <w:pPr>
        <w:pStyle w:val="SectionBody"/>
        <w:rPr>
          <w:color w:val="auto"/>
          <w:u w:val="single"/>
        </w:rPr>
      </w:pPr>
      <w:r w:rsidRPr="00303CBE">
        <w:rPr>
          <w:color w:val="auto"/>
          <w:u w:val="single"/>
        </w:rPr>
        <w:t>To avoid undue delays for transferring military children with disabilities in receiving comparable special education services or accommodations, each local education agency shall promptly coordinate with a military-connected student’s parents and previous school district upon that student’s application for enrollment pursuant to this article.</w:t>
      </w:r>
    </w:p>
    <w:p w14:paraId="01A228E9"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§18-2L-5. Military parent student support.</w:t>
      </w:r>
    </w:p>
    <w:p w14:paraId="4EF1C768" w14:textId="77777777" w:rsidR="00204BBF" w:rsidRPr="00303CBE" w:rsidRDefault="00204BBF" w:rsidP="000A7FB7">
      <w:pPr>
        <w:pStyle w:val="SectionBody"/>
        <w:rPr>
          <w:color w:val="auto"/>
          <w:u w:val="single"/>
        </w:rPr>
      </w:pPr>
      <w:r w:rsidRPr="00303CBE">
        <w:rPr>
          <w:color w:val="auto"/>
          <w:u w:val="single"/>
        </w:rPr>
        <w:t>If a parent or guardian of a military-connected student is called or ordered to active duty by the federal government under the provisions of 10 U.S.C. relating to armed forces, or 32 U.S.C. relating to the National Guard, the parent or guardian may notify the local education agency of the activation to active duty and request additional supports for the student under this section. Upon receiving notification from the parent or guardian of activation, the local education agency shall provide the student with access to licensed counseling services, and information regarding existing federal and state military support services and any other service, agency, or resource necessary to support or provide assistance to the student.</w:t>
      </w:r>
    </w:p>
    <w:p w14:paraId="05DDBA14"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§18-2L-6. Military teacher student support.</w:t>
      </w:r>
    </w:p>
    <w:p w14:paraId="22DB4A1D" w14:textId="5622555A" w:rsidR="00204BBF" w:rsidRPr="00303CBE" w:rsidRDefault="00204BBF" w:rsidP="000A7FB7">
      <w:pPr>
        <w:pStyle w:val="SectionBody"/>
        <w:rPr>
          <w:color w:val="auto"/>
          <w:u w:val="single"/>
        </w:rPr>
      </w:pPr>
      <w:r w:rsidRPr="00303CBE">
        <w:rPr>
          <w:color w:val="auto"/>
          <w:u w:val="single"/>
        </w:rPr>
        <w:t xml:space="preserve">A local education agency shall notify a classroom teacher of the enrollment of a military-connected student in any class taught by the teacher. The purpose of the notification is to provide the teacher with the opportunity to monitor a military-connected student’s level of academic engagement and to provide additional academic support to the student as needed. At the request of a parent or guardian, the school district </w:t>
      </w:r>
      <w:r w:rsidR="0082124F" w:rsidRPr="00303CBE">
        <w:rPr>
          <w:color w:val="auto"/>
          <w:u w:val="single"/>
        </w:rPr>
        <w:t>may</w:t>
      </w:r>
      <w:r w:rsidRPr="00303CBE">
        <w:rPr>
          <w:color w:val="auto"/>
          <w:u w:val="single"/>
        </w:rPr>
        <w:t xml:space="preserve"> not notify a classroom teacher of the enrollment of the military-connected student pursuant to this section.</w:t>
      </w:r>
    </w:p>
    <w:p w14:paraId="154FC267"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§18-2L-7. National Guard and Reserve parent student support.</w:t>
      </w:r>
    </w:p>
    <w:p w14:paraId="77255D96" w14:textId="3008E8CA" w:rsidR="00204BBF" w:rsidRPr="00303CBE" w:rsidRDefault="00204BBF" w:rsidP="000A7FB7">
      <w:pPr>
        <w:pStyle w:val="SectionBody"/>
        <w:rPr>
          <w:color w:val="auto"/>
          <w:u w:val="single"/>
        </w:rPr>
      </w:pPr>
      <w:r w:rsidRPr="00303CBE">
        <w:rPr>
          <w:color w:val="auto"/>
          <w:u w:val="single"/>
        </w:rPr>
        <w:t>Notwithstanding any other provision of law, a military-connected student who is a child of a member of the National Guard and Reserve shall be afforded the same rights as a student of an active-duty military family under §18-10F-2</w:t>
      </w:r>
      <w:r w:rsidR="00927D2C">
        <w:rPr>
          <w:color w:val="auto"/>
          <w:u w:val="single"/>
        </w:rPr>
        <w:t xml:space="preserve"> of this code</w:t>
      </w:r>
      <w:r w:rsidRPr="00303CBE">
        <w:rPr>
          <w:color w:val="auto"/>
          <w:u w:val="single"/>
        </w:rPr>
        <w:t xml:space="preserve">, known as the Interstate Compact on Educational Opportunity for Military Children Act, if a parent is required to move to perform the parent's responsibilities in the service of the National Guard or Reserve resulting in the student having to transfer from a public school in one state to a public school in another state. Nothing in this section </w:t>
      </w:r>
      <w:r w:rsidR="002361CC" w:rsidRPr="00303CBE">
        <w:rPr>
          <w:color w:val="auto"/>
          <w:u w:val="single"/>
        </w:rPr>
        <w:t>may</w:t>
      </w:r>
      <w:r w:rsidRPr="00303CBE">
        <w:rPr>
          <w:color w:val="auto"/>
          <w:u w:val="single"/>
        </w:rPr>
        <w:t xml:space="preserve"> be construed to amend the Interstate Compact on Educational Opportunity for Military Children under Article §18-10F-2</w:t>
      </w:r>
      <w:r w:rsidR="00927D2C">
        <w:rPr>
          <w:color w:val="auto"/>
          <w:u w:val="single"/>
        </w:rPr>
        <w:t xml:space="preserve"> of this code</w:t>
      </w:r>
      <w:r w:rsidR="002361CC" w:rsidRPr="00303CBE">
        <w:rPr>
          <w:color w:val="auto"/>
          <w:u w:val="single"/>
        </w:rPr>
        <w:t>.  This section</w:t>
      </w:r>
      <w:r w:rsidRPr="00303CBE">
        <w:rPr>
          <w:color w:val="auto"/>
          <w:u w:val="single"/>
        </w:rPr>
        <w:t xml:space="preserve"> shall only apply to an action taken or to be taken by an entity located in this state that affects the rights of a military-connected student.</w:t>
      </w:r>
    </w:p>
    <w:p w14:paraId="520E07BF"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§18-2L-8. Placement stability.</w:t>
      </w:r>
    </w:p>
    <w:p w14:paraId="3C83B73B" w14:textId="412B69B8" w:rsidR="00204BBF" w:rsidRPr="00303CBE" w:rsidRDefault="00204BBF" w:rsidP="000A7FB7">
      <w:pPr>
        <w:pStyle w:val="SectionBody"/>
        <w:rPr>
          <w:color w:val="auto"/>
        </w:rPr>
      </w:pPr>
      <w:r w:rsidRPr="00303CBE">
        <w:rPr>
          <w:color w:val="auto"/>
          <w:u w:val="single"/>
        </w:rPr>
        <w:t>For purposes of continuity of educational choice, a student who enrolls pursuant to this section may remain at the school until the student completes the highest grade level at the school.</w:t>
      </w:r>
    </w:p>
    <w:p w14:paraId="24B7D81D" w14:textId="60A39C9A" w:rsidR="00204BBF" w:rsidRPr="00303CBE" w:rsidRDefault="00204BBF" w:rsidP="00F20841">
      <w:pPr>
        <w:pStyle w:val="ArticleHeading"/>
      </w:pPr>
      <w:r w:rsidRPr="00303CBE">
        <w:t>ARTICLE 5. COUNTY BOARD OF EDUCATION.</w:t>
      </w:r>
    </w:p>
    <w:p w14:paraId="37BCC62F" w14:textId="00BE6F13" w:rsidR="00204BBF" w:rsidRPr="00303CBE" w:rsidRDefault="00204BBF" w:rsidP="0070041D">
      <w:pPr>
        <w:pStyle w:val="SectionHeading"/>
        <w:rPr>
          <w:color w:val="auto"/>
        </w:rPr>
        <w:sectPr w:rsidR="00204BBF"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rPr>
        <w:t>§18-5-16. Student transfers; definitions; appeals; calculating net enrollment; fees for transfer.</w:t>
      </w:r>
    </w:p>
    <w:p w14:paraId="600BCE91" w14:textId="5AAE7B87" w:rsidR="00204BBF" w:rsidRPr="00303CBE" w:rsidRDefault="00204BBF" w:rsidP="0070041D">
      <w:pPr>
        <w:pStyle w:val="SectionBody"/>
        <w:rPr>
          <w:color w:val="auto"/>
        </w:rPr>
      </w:pPr>
      <w:r w:rsidRPr="00303CBE">
        <w:rPr>
          <w:color w:val="auto"/>
        </w:rPr>
        <w:t xml:space="preserve">(a) Establishment of attendance zones within counties. — The county board may establish attendance zones within the county to designate the schools within its district that resident students typically attend: </w:t>
      </w:r>
      <w:r w:rsidRPr="00303CBE">
        <w:rPr>
          <w:i/>
          <w:iCs/>
          <w:color w:val="auto"/>
        </w:rPr>
        <w:t>Provided</w:t>
      </w:r>
      <w:r w:rsidRPr="00303CBE">
        <w:rPr>
          <w:color w:val="auto"/>
        </w:rPr>
        <w:t xml:space="preserve">, That a county board may permit any eligible elementary, middle or high school resident student to apply for enrollment in any school with grade level capacity and existing programs and services currently outside any established attendance zone in which the student resides. Upon the written request of any parent or guardian, or person legally responsible for any resident student, the superintendent may grant a resident student’s transfer request from one school or program to another within the county </w:t>
      </w:r>
      <w:r w:rsidRPr="00303CBE">
        <w:rPr>
          <w:strike/>
          <w:color w:val="auto"/>
        </w:rPr>
        <w:t>so</w:t>
      </w:r>
      <w:r w:rsidRPr="00303CBE">
        <w:rPr>
          <w:color w:val="auto"/>
        </w:rPr>
        <w:t xml:space="preserve"> </w:t>
      </w:r>
      <w:r w:rsidR="003B2CB4" w:rsidRPr="00303CBE">
        <w:rPr>
          <w:color w:val="auto"/>
          <w:u w:val="single"/>
        </w:rPr>
        <w:t>as</w:t>
      </w:r>
      <w:r w:rsidR="003B2CB4" w:rsidRPr="00303CBE">
        <w:rPr>
          <w:color w:val="auto"/>
        </w:rPr>
        <w:t xml:space="preserve"> </w:t>
      </w:r>
      <w:r w:rsidRPr="00303CBE">
        <w:rPr>
          <w:color w:val="auto"/>
        </w:rPr>
        <w:t>long as grade level capacity and the program and services exist at the time of the request.  Counties with a critical need shortage policy may further review the request to determine if appropriate staffing is available in the requested grade, program, service, or content area. A superintendent may not transfer a resident student from one school to another within the county for reasons affecting the best interests of the schools without the consent of the student’s parent or legal guardian. Any aggrieved person may appeal a transfer or denial of transfer by the county superintendent to the county board. When making enrollment decisions, a county superintendent or county board may not distinguish between students on the basis of residential or potential disability status. A county superintendent or county board may determine if appropriate staff, resources, services and programs are in place to meet the disability needs of the student at the requested school. A decision of the county board may be appealed to the state superintendent of schools, whose decision shall be final.</w:t>
      </w:r>
    </w:p>
    <w:p w14:paraId="4000742E" w14:textId="77777777" w:rsidR="00204BBF" w:rsidRPr="00303CBE" w:rsidRDefault="00204BBF" w:rsidP="0070041D">
      <w:pPr>
        <w:pStyle w:val="SectionBody"/>
        <w:rPr>
          <w:color w:val="auto"/>
        </w:rPr>
      </w:pPr>
      <w:bookmarkStart w:id="0" w:name="_Hlk505864176"/>
      <w:r w:rsidRPr="00303CBE">
        <w:rPr>
          <w:color w:val="auto"/>
        </w:rPr>
        <w:t>(b) Definitions. — For the purposes of this section, unless a different meaning clearly appears from the context:</w:t>
      </w:r>
    </w:p>
    <w:p w14:paraId="6C75EAF1" w14:textId="77777777" w:rsidR="00204BBF" w:rsidRPr="00F20841" w:rsidRDefault="00204BBF" w:rsidP="0070041D">
      <w:pPr>
        <w:pStyle w:val="SectionBody"/>
        <w:rPr>
          <w:color w:val="auto"/>
        </w:rPr>
      </w:pPr>
      <w:r w:rsidRPr="00F20841">
        <w:rPr>
          <w:color w:val="auto"/>
        </w:rPr>
        <w:t>(1) "Nonresident student" means a student who resides in this state and who is enrolled in or is seeking enrollment in a county school district other than the county school district in which the student resides.</w:t>
      </w:r>
    </w:p>
    <w:p w14:paraId="02C2FE6A" w14:textId="77777777" w:rsidR="00204BBF" w:rsidRPr="00F20841" w:rsidRDefault="00204BBF" w:rsidP="0070041D">
      <w:pPr>
        <w:pStyle w:val="SectionBody"/>
        <w:rPr>
          <w:color w:val="auto"/>
        </w:rPr>
      </w:pPr>
      <w:r w:rsidRPr="00F20841">
        <w:rPr>
          <w:color w:val="auto"/>
        </w:rPr>
        <w:t>(2) "Open enrollment"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0DA6DA7D" w14:textId="77777777" w:rsidR="00204BBF" w:rsidRPr="00303CBE" w:rsidRDefault="00204BBF" w:rsidP="0070041D">
      <w:pPr>
        <w:pStyle w:val="SectionBody"/>
        <w:rPr>
          <w:color w:val="auto"/>
        </w:rPr>
      </w:pPr>
      <w:r w:rsidRPr="00303CBE">
        <w:rPr>
          <w:color w:val="auto"/>
        </w:rPr>
        <w:t>(c) Enrollment policies for nonresident students. — County boards shall establish and implement an open enrollment policy for nonresident students without charging tuition and without obtaining approval from the board of the county in which a student resides and transfers. This policy shall clearly establish an open enrollment process and enrollment application period for nonresident students to enroll in any school within the district.  The process for enrollment application shall be clearly publicized to parents and the general public, including dates and timelines, and shall be made available on the board’s website. As part of the open enrollment policy, county boards shall also establish a process for nonresident students to enroll in any school within the district on a case-by-case basis at any time during the academic year so long as all other requirements are met including that the student has not previously transferred within the same school year. The open enrollment policy shall not discriminate against nonresident students on the basis of their residential address or any potential disability status.  Enrollment policies are subject to the following:</w:t>
      </w:r>
    </w:p>
    <w:p w14:paraId="5518A6CE" w14:textId="77777777" w:rsidR="00204BBF" w:rsidRPr="00303CBE" w:rsidRDefault="00204BBF" w:rsidP="0070041D">
      <w:pPr>
        <w:pStyle w:val="SectionBody"/>
        <w:rPr>
          <w:color w:val="auto"/>
        </w:rPr>
      </w:pPr>
      <w:r w:rsidRPr="00303CBE">
        <w:rPr>
          <w:color w:val="auto"/>
        </w:rPr>
        <w:t>(1) A county board may give enrollment preference to:</w:t>
      </w:r>
    </w:p>
    <w:p w14:paraId="2DC422ED" w14:textId="77777777" w:rsidR="00204BBF" w:rsidRPr="00303CBE" w:rsidRDefault="00204BBF" w:rsidP="0070041D">
      <w:pPr>
        <w:pStyle w:val="SectionBody"/>
        <w:rPr>
          <w:color w:val="auto"/>
        </w:rPr>
      </w:pPr>
      <w:r w:rsidRPr="00303CBE">
        <w:rPr>
          <w:color w:val="auto"/>
        </w:rPr>
        <w:t>(A) Siblings of students already enrolled through the open enrollment policy;</w:t>
      </w:r>
    </w:p>
    <w:p w14:paraId="587C9BC3" w14:textId="77777777" w:rsidR="00204BBF" w:rsidRPr="00303CBE" w:rsidRDefault="00204BBF" w:rsidP="0070041D">
      <w:pPr>
        <w:pStyle w:val="SectionBody"/>
        <w:rPr>
          <w:color w:val="auto"/>
        </w:rPr>
      </w:pPr>
      <w:r w:rsidRPr="00303CBE">
        <w:rPr>
          <w:color w:val="auto"/>
        </w:rPr>
        <w:t>(B) Secondary students who have completed 10th grade and, due to family relocation, become nonresident students, but express the desire to remain in a specific school to complete their education;</w:t>
      </w:r>
    </w:p>
    <w:p w14:paraId="3F70747C" w14:textId="77777777" w:rsidR="00204BBF" w:rsidRPr="00303CBE" w:rsidRDefault="00204BBF" w:rsidP="0070041D">
      <w:pPr>
        <w:pStyle w:val="SectionBody"/>
        <w:rPr>
          <w:color w:val="auto"/>
        </w:rPr>
      </w:pPr>
      <w:r w:rsidRPr="00303CBE">
        <w:rPr>
          <w:color w:val="auto"/>
        </w:rPr>
        <w:t>(C) Students who are children, grandchildren, or legal wards of employees;</w:t>
      </w:r>
    </w:p>
    <w:p w14:paraId="5831A16C" w14:textId="77777777" w:rsidR="00204BBF" w:rsidRPr="00303CBE" w:rsidRDefault="00204BBF" w:rsidP="0070041D">
      <w:pPr>
        <w:pStyle w:val="SectionBody"/>
        <w:rPr>
          <w:color w:val="auto"/>
        </w:rPr>
      </w:pPr>
      <w:r w:rsidRPr="00303CBE">
        <w:rPr>
          <w:color w:val="auto"/>
        </w:rPr>
        <w:t xml:space="preserve">(D) Students whose legal residences, though geographically within another county, are more proximate to a school within the receiving county, whether calculated by miles or transportation time; </w:t>
      </w:r>
    </w:p>
    <w:p w14:paraId="030A870D" w14:textId="77777777" w:rsidR="00204BBF" w:rsidRPr="00303CBE" w:rsidRDefault="00204BBF" w:rsidP="0070041D">
      <w:pPr>
        <w:pStyle w:val="SectionBody"/>
        <w:rPr>
          <w:color w:val="auto"/>
        </w:rPr>
      </w:pPr>
      <w:r w:rsidRPr="00303CBE">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5DBEBD3F" w14:textId="405904FC" w:rsidR="00CB729A" w:rsidRPr="00303CBE" w:rsidRDefault="00CB729A" w:rsidP="0070041D">
      <w:pPr>
        <w:pStyle w:val="SectionBody"/>
        <w:rPr>
          <w:color w:val="auto"/>
          <w:u w:val="single"/>
        </w:rPr>
      </w:pPr>
      <w:r w:rsidRPr="00303CBE">
        <w:rPr>
          <w:color w:val="auto"/>
          <w:u w:val="single"/>
        </w:rPr>
        <w:t>(F) Military connected students who are the dependents of an active service member of the United States Military, the West Virginia National Guard, or a Reserve Component of the United States Military</w:t>
      </w:r>
      <w:r w:rsidR="00163FB7" w:rsidRPr="00303CBE">
        <w:rPr>
          <w:color w:val="auto"/>
          <w:u w:val="single"/>
        </w:rPr>
        <w:t>.</w:t>
      </w:r>
    </w:p>
    <w:p w14:paraId="1C80A6D3" w14:textId="525E3416" w:rsidR="00CB729A" w:rsidRPr="00303CBE" w:rsidRDefault="00204BBF" w:rsidP="0070041D">
      <w:pPr>
        <w:pStyle w:val="SectionBody"/>
        <w:rPr>
          <w:color w:val="auto"/>
        </w:rPr>
      </w:pPr>
      <w:r w:rsidRPr="00303CBE">
        <w:rPr>
          <w:strike/>
          <w:color w:val="auto"/>
        </w:rPr>
        <w:t>(F)</w:t>
      </w:r>
      <w:r w:rsidRPr="00303CBE">
        <w:rPr>
          <w:color w:val="auto"/>
        </w:rPr>
        <w:t xml:space="preserve"> </w:t>
      </w:r>
      <w:r w:rsidR="00CB729A" w:rsidRPr="00303CBE">
        <w:rPr>
          <w:color w:val="auto"/>
          <w:u w:val="single"/>
        </w:rPr>
        <w:t>(G)</w:t>
      </w:r>
      <w:r w:rsidR="00CB729A" w:rsidRPr="00303CBE">
        <w:rPr>
          <w:color w:val="auto"/>
        </w:rPr>
        <w:t xml:space="preserve"> </w:t>
      </w:r>
      <w:r w:rsidRPr="00303CBE">
        <w:rPr>
          <w:color w:val="auto"/>
        </w:rPr>
        <w:t xml:space="preserve">The county board to which the student wishes to be transferred may not refuse a transfer by virtue of the student transferring from a private, parochial, church, or religious school holding an exemption approved pursuant to §18-8-1(k) of this code: </w:t>
      </w:r>
      <w:r w:rsidRPr="00303CBE">
        <w:rPr>
          <w:i/>
          <w:iCs/>
          <w:color w:val="auto"/>
        </w:rPr>
        <w:t>Provided</w:t>
      </w:r>
      <w:r w:rsidRPr="00303CBE">
        <w:rPr>
          <w:color w:val="auto"/>
        </w:rPr>
        <w:t xml:space="preserve">, That nothing in this paragraph </w:t>
      </w:r>
      <w:r w:rsidRPr="00303CBE">
        <w:rPr>
          <w:strike/>
          <w:color w:val="auto"/>
        </w:rPr>
        <w:t>shall</w:t>
      </w:r>
      <w:r w:rsidRPr="00303CBE">
        <w:rPr>
          <w:color w:val="auto"/>
        </w:rPr>
        <w:t xml:space="preserve"> </w:t>
      </w:r>
      <w:r w:rsidR="003B2CB4" w:rsidRPr="00303CBE">
        <w:rPr>
          <w:color w:val="auto"/>
          <w:u w:val="single"/>
        </w:rPr>
        <w:t>may</w:t>
      </w:r>
      <w:r w:rsidR="003B2CB4" w:rsidRPr="00303CBE">
        <w:rPr>
          <w:color w:val="auto"/>
        </w:rPr>
        <w:t xml:space="preserve"> </w:t>
      </w:r>
      <w:r w:rsidRPr="00303CBE">
        <w:rPr>
          <w:color w:val="auto"/>
        </w:rPr>
        <w:t>be construed to allow a county board to give an enrollment preference to a student transferring from a private, parochial, church, or religious school holding an exemption approved pursuant to §18-8-1(k) of this code</w:t>
      </w:r>
      <w:r w:rsidR="00CB729A" w:rsidRPr="00303CBE">
        <w:rPr>
          <w:color w:val="auto"/>
        </w:rPr>
        <w:t>;</w:t>
      </w:r>
    </w:p>
    <w:p w14:paraId="7ED4395F" w14:textId="77777777" w:rsidR="00204BBF" w:rsidRPr="00303CBE" w:rsidRDefault="00204BBF" w:rsidP="0070041D">
      <w:pPr>
        <w:pStyle w:val="SectionBody"/>
        <w:rPr>
          <w:color w:val="auto"/>
        </w:rPr>
      </w:pPr>
      <w:r w:rsidRPr="00303CBE">
        <w:rPr>
          <w:color w:val="auto"/>
        </w:rPr>
        <w:t>(2) A county shall comply with all enrollment requirements for children who are in foster care or who meet the definition of unaccompanied youth prescribed in the McKinney-Vento Homeless Assistance Act (42 U.S.C. § 11434a(6)).</w:t>
      </w:r>
    </w:p>
    <w:p w14:paraId="2EA9DB9D" w14:textId="77777777" w:rsidR="00204BBF" w:rsidRPr="00303CBE" w:rsidRDefault="00204BBF" w:rsidP="0070041D">
      <w:pPr>
        <w:pStyle w:val="SectionBody"/>
        <w:rPr>
          <w:color w:val="auto"/>
        </w:rPr>
      </w:pPr>
      <w:r w:rsidRPr="00303CBE">
        <w:rPr>
          <w:color w:val="auto"/>
        </w:rPr>
        <w:t>(3) The county board for the county educating the nonresident student may provide an adequate means of transportation to nonresident students when students have complied with the procedure for obtaining authorization to attend school outside their county of residence, subject to the following:</w:t>
      </w:r>
    </w:p>
    <w:p w14:paraId="455AD14E" w14:textId="77777777" w:rsidR="00204BBF" w:rsidRPr="00303CBE" w:rsidRDefault="00204BBF" w:rsidP="0070041D">
      <w:pPr>
        <w:pStyle w:val="SectionBody"/>
        <w:rPr>
          <w:color w:val="auto"/>
        </w:rPr>
      </w:pPr>
      <w:r w:rsidRPr="00303CBE">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81C6AD0" w14:textId="77777777" w:rsidR="00204BBF" w:rsidRPr="00303CBE" w:rsidRDefault="00204BBF" w:rsidP="0070041D">
      <w:pPr>
        <w:pStyle w:val="SectionBody"/>
        <w:rPr>
          <w:color w:val="auto"/>
        </w:rPr>
      </w:pPr>
      <w:r w:rsidRPr="00303CBE">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053A805D" w14:textId="77777777" w:rsidR="00204BBF" w:rsidRPr="00303CBE" w:rsidRDefault="00204BBF" w:rsidP="0070041D">
      <w:pPr>
        <w:pStyle w:val="SectionBody"/>
        <w:rPr>
          <w:color w:val="auto"/>
        </w:rPr>
      </w:pPr>
      <w:r w:rsidRPr="00303CBE">
        <w:rPr>
          <w:color w:val="auto"/>
        </w:rPr>
        <w:t>(4) An application may only be denied by a county board of education due to lack of grade level capacity, lack of programs or services due to areas identified in the county board critical need policy, or the commission of Level 3 or Level 4 inappropriate behavior as defined by West Virginia Board of Education Policy 4373 in the last year. 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 If a nonresident student fails to fill out or submit an open enrollment application correctly, a county board shall provide an explanation of ways in which the application may be corrected and submitted for necessary approval.</w:t>
      </w:r>
    </w:p>
    <w:p w14:paraId="305B183F" w14:textId="77777777" w:rsidR="00204BBF" w:rsidRPr="00303CBE" w:rsidRDefault="00204BBF" w:rsidP="0070041D">
      <w:pPr>
        <w:pStyle w:val="SectionBody"/>
        <w:rPr>
          <w:color w:val="auto"/>
        </w:rPr>
      </w:pPr>
      <w:r w:rsidRPr="00303CBE">
        <w:rPr>
          <w:color w:val="auto"/>
        </w:rPr>
        <w:t>(d) Appeal.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Superintendent may direct that the student may be permitted to attend a school in the receiving county.</w:t>
      </w:r>
    </w:p>
    <w:bookmarkEnd w:id="0"/>
    <w:p w14:paraId="31BE0606" w14:textId="77777777" w:rsidR="00204BBF" w:rsidRPr="00303CBE" w:rsidRDefault="00204BBF" w:rsidP="0070041D">
      <w:pPr>
        <w:pStyle w:val="SectionBody"/>
        <w:rPr>
          <w:color w:val="auto"/>
        </w:rPr>
      </w:pPr>
      <w:r w:rsidRPr="00303CBE">
        <w:rPr>
          <w:color w:val="auto"/>
        </w:rPr>
        <w:t xml:space="preserve">(e) Net enrollment.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61F9E58D" w14:textId="77777777" w:rsidR="00204BBF" w:rsidRPr="00303CBE" w:rsidRDefault="00204BBF" w:rsidP="0070041D">
      <w:pPr>
        <w:pStyle w:val="SectionBody"/>
        <w:rPr>
          <w:color w:val="auto"/>
        </w:rPr>
      </w:pPr>
      <w:r w:rsidRPr="00303CBE">
        <w:rPr>
          <w:color w:val="auto"/>
        </w:rPr>
        <w:t xml:space="preserve">(1)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 </w:t>
      </w:r>
      <w:r w:rsidRPr="00303CBE">
        <w:rPr>
          <w:i/>
          <w:iCs/>
          <w:color w:val="auto"/>
        </w:rPr>
        <w:t>et seq</w:t>
      </w:r>
      <w:r w:rsidRPr="00303CBE">
        <w:rPr>
          <w:color w:val="auto"/>
        </w:rPr>
        <w:t xml:space="preserve">. of this code had such student been included in the county’s prior year’s net enrollment; </w:t>
      </w:r>
    </w:p>
    <w:p w14:paraId="4AE8361A" w14:textId="77777777" w:rsidR="00204BBF" w:rsidRPr="00303CBE" w:rsidRDefault="00204BBF" w:rsidP="0070041D">
      <w:pPr>
        <w:pStyle w:val="SectionBody"/>
        <w:rPr>
          <w:color w:val="auto"/>
        </w:rPr>
      </w:pPr>
      <w:r w:rsidRPr="00303CBE">
        <w:rPr>
          <w:color w:val="auto"/>
        </w:rPr>
        <w:t>(2)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county’s prior year’s child count enrollment;</w:t>
      </w:r>
    </w:p>
    <w:p w14:paraId="49706228" w14:textId="77777777" w:rsidR="00204BBF" w:rsidRPr="00303CBE" w:rsidRDefault="00204BBF" w:rsidP="0070041D">
      <w:pPr>
        <w:pStyle w:val="SectionBody"/>
        <w:rPr>
          <w:color w:val="auto"/>
        </w:rPr>
      </w:pPr>
      <w:r w:rsidRPr="00303CBE">
        <w:rPr>
          <w:color w:val="auto"/>
        </w:rPr>
        <w:t>(3)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county’s prior year’s child count enrollment; and</w:t>
      </w:r>
    </w:p>
    <w:p w14:paraId="777262C8" w14:textId="77777777" w:rsidR="00204BBF" w:rsidRPr="00303CBE" w:rsidRDefault="00204BBF" w:rsidP="0070041D">
      <w:pPr>
        <w:pStyle w:val="SectionBody"/>
        <w:rPr>
          <w:color w:val="auto"/>
        </w:rPr>
      </w:pPr>
      <w:r w:rsidRPr="00303CBE">
        <w:rPr>
          <w:color w:val="auto"/>
        </w:rPr>
        <w:t>(4) The county from which the student transferred shall reimburse the county to which the student transferred for the amount of the invoice.</w:t>
      </w:r>
    </w:p>
    <w:p w14:paraId="7A449315" w14:textId="77777777" w:rsidR="00204BBF" w:rsidRPr="00303CBE" w:rsidRDefault="00204BBF" w:rsidP="0070041D">
      <w:pPr>
        <w:pStyle w:val="SectionBody"/>
        <w:rPr>
          <w:color w:val="auto"/>
        </w:rPr>
      </w:pPr>
      <w:r w:rsidRPr="00303CBE">
        <w:rPr>
          <w:color w:val="auto"/>
        </w:rPr>
        <w:t>(f) Transfers between states. — Transfer of students from this state to another state shall be upon such terms, including payment of tuition, as shall be mutually agreed upon by the board of the receiving county and the authorities of the school or district from which the transfer is made.</w:t>
      </w:r>
    </w:p>
    <w:p w14:paraId="33CB735B" w14:textId="77777777" w:rsidR="00204BBF" w:rsidRPr="00303CBE" w:rsidRDefault="00204BBF" w:rsidP="0070041D">
      <w:pPr>
        <w:pStyle w:val="SectionBody"/>
        <w:rPr>
          <w:color w:val="auto"/>
        </w:rPr>
      </w:pPr>
      <w:r w:rsidRPr="00303CBE">
        <w:rPr>
          <w:color w:val="auto"/>
        </w:rPr>
        <w:t>(g) No parent, guardian, or person acting as parent or guardian is required to pay for the transfer of a student or for the tuition of the student after the transfer when the transfer is carried out under the terms of this section.</w:t>
      </w:r>
    </w:p>
    <w:p w14:paraId="1F154519" w14:textId="77777777" w:rsidR="00204BBF" w:rsidRPr="00303CBE" w:rsidRDefault="00204BBF" w:rsidP="0070041D">
      <w:pPr>
        <w:pStyle w:val="SectionBody"/>
        <w:rPr>
          <w:color w:val="auto"/>
        </w:rPr>
      </w:pPr>
      <w:r w:rsidRPr="00303CBE">
        <w:rPr>
          <w:color w:val="auto"/>
        </w:rPr>
        <w:t>(h) Nothing in this section supersedes the eligibility requirements for participation in extra-curricular activities established by the Secondary School Activities Commission.</w:t>
      </w:r>
    </w:p>
    <w:p w14:paraId="0E089E29" w14:textId="77777777" w:rsidR="00204BBF" w:rsidRPr="00303CBE" w:rsidRDefault="00204BBF" w:rsidP="0070041D">
      <w:pPr>
        <w:pStyle w:val="SectionBody"/>
        <w:rPr>
          <w:color w:val="auto"/>
        </w:rPr>
      </w:pPr>
      <w:r w:rsidRPr="00303CBE">
        <w:rPr>
          <w:color w:val="auto"/>
        </w:rPr>
        <w:t xml:space="preserve">(i) Each county board shall report annually to the State Department of Education the number of resident and nonresident student transfers approved by the county board for the preceding school calendar year, as well as the number of resident and nonresident student transfer applications denied and the reasons for those denials. On or before June 30 of each year, the State Department of Education shall compile the information from the county boards and report the information to the Legislative Oversight Commission on Education Accountability.  Information regarding the annual number of resident and nonresident student transfer approvals and denials shall also be made available on each county board’s website. </w:t>
      </w:r>
    </w:p>
    <w:p w14:paraId="4A32C263" w14:textId="77777777" w:rsidR="00C33014" w:rsidRPr="00303CBE" w:rsidRDefault="00C33014" w:rsidP="00CC1F3B">
      <w:pPr>
        <w:pStyle w:val="Note"/>
        <w:rPr>
          <w:color w:val="auto"/>
        </w:rPr>
      </w:pPr>
    </w:p>
    <w:p w14:paraId="18582037" w14:textId="3832EFD7" w:rsidR="006865E9" w:rsidRPr="00303CBE" w:rsidRDefault="00CF1DCA" w:rsidP="00CC1F3B">
      <w:pPr>
        <w:pStyle w:val="Note"/>
        <w:rPr>
          <w:color w:val="auto"/>
        </w:rPr>
      </w:pPr>
      <w:r w:rsidRPr="00303CBE">
        <w:rPr>
          <w:color w:val="auto"/>
        </w:rPr>
        <w:t>NOTE: The</w:t>
      </w:r>
      <w:r w:rsidR="006865E9" w:rsidRPr="00303CBE">
        <w:rPr>
          <w:color w:val="auto"/>
        </w:rPr>
        <w:t xml:space="preserve"> purpose of this bill is to </w:t>
      </w:r>
      <w:r w:rsidR="006C6502" w:rsidRPr="00303CBE">
        <w:rPr>
          <w:color w:val="auto"/>
        </w:rPr>
        <w:t>provide military connected students access to education an</w:t>
      </w:r>
      <w:r w:rsidR="009E52CD">
        <w:rPr>
          <w:color w:val="auto"/>
        </w:rPr>
        <w:t>d</w:t>
      </w:r>
      <w:r w:rsidR="006C6502" w:rsidRPr="00303CBE">
        <w:rPr>
          <w:color w:val="auto"/>
        </w:rPr>
        <w:t xml:space="preserve"> relates to advance enrollment, rights of those students</w:t>
      </w:r>
      <w:r w:rsidR="009E52CD">
        <w:rPr>
          <w:color w:val="auto"/>
        </w:rPr>
        <w:t>,</w:t>
      </w:r>
      <w:r w:rsidR="006C6502" w:rsidRPr="00303CBE">
        <w:rPr>
          <w:color w:val="auto"/>
        </w:rPr>
        <w:t xml:space="preserve"> and teacher and student support.</w:t>
      </w:r>
    </w:p>
    <w:p w14:paraId="07D8A611" w14:textId="77777777" w:rsidR="006865E9" w:rsidRPr="00303CBE" w:rsidRDefault="00AE48A0" w:rsidP="00CC1F3B">
      <w:pPr>
        <w:pStyle w:val="Note"/>
        <w:rPr>
          <w:color w:val="auto"/>
        </w:rPr>
      </w:pPr>
      <w:r w:rsidRPr="00303CBE">
        <w:rPr>
          <w:color w:val="auto"/>
        </w:rPr>
        <w:t>Strike-throughs indicate language that would be stricken from a heading or the present law and underscoring indicates new language that would be added.</w:t>
      </w:r>
    </w:p>
    <w:sectPr w:rsidR="006865E9" w:rsidRPr="00303CBE" w:rsidSect="00204B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6999" w14:textId="77777777" w:rsidR="00204BBF" w:rsidRPr="00B844FE" w:rsidRDefault="00204BBF" w:rsidP="00B844FE">
      <w:r>
        <w:separator/>
      </w:r>
    </w:p>
  </w:endnote>
  <w:endnote w:type="continuationSeparator" w:id="0">
    <w:p w14:paraId="6CEDF8DB" w14:textId="77777777" w:rsidR="00204BBF" w:rsidRPr="00B844FE" w:rsidRDefault="00204B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0B77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02D1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D080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2C23" w14:textId="77777777" w:rsidR="00927D2C" w:rsidRDefault="00927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839D" w14:textId="77777777" w:rsidR="00204BBF" w:rsidRPr="00B844FE" w:rsidRDefault="00204BBF" w:rsidP="00B844FE">
      <w:r>
        <w:separator/>
      </w:r>
    </w:p>
  </w:footnote>
  <w:footnote w:type="continuationSeparator" w:id="0">
    <w:p w14:paraId="1974A2A6" w14:textId="77777777" w:rsidR="00204BBF" w:rsidRPr="00B844FE" w:rsidRDefault="00204B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597E" w14:textId="77777777" w:rsidR="002A0269" w:rsidRPr="00B844FE" w:rsidRDefault="00794B71">
    <w:pPr>
      <w:pStyle w:val="Header"/>
    </w:pPr>
    <w:sdt>
      <w:sdtPr>
        <w:id w:val="-684364211"/>
        <w:placeholder>
          <w:docPart w:val="47D10AC30B7D470EB5DE0ECF34E8D6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D10AC30B7D470EB5DE0ECF34E8D6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181B" w14:textId="261539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04BB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4BBF">
          <w:rPr>
            <w:sz w:val="22"/>
            <w:szCs w:val="22"/>
          </w:rPr>
          <w:t>202</w:t>
        </w:r>
        <w:r w:rsidR="00927D2C">
          <w:rPr>
            <w:sz w:val="22"/>
            <w:szCs w:val="22"/>
          </w:rPr>
          <w:t>6</w:t>
        </w:r>
        <w:r w:rsidR="00204BBF">
          <w:rPr>
            <w:sz w:val="22"/>
            <w:szCs w:val="22"/>
          </w:rPr>
          <w:t>R</w:t>
        </w:r>
        <w:r w:rsidR="00927D2C">
          <w:rPr>
            <w:sz w:val="22"/>
            <w:szCs w:val="22"/>
          </w:rPr>
          <w:t>1526</w:t>
        </w:r>
      </w:sdtContent>
    </w:sdt>
  </w:p>
  <w:p w14:paraId="6DE57DB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DF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BF"/>
    <w:rsid w:val="0000526A"/>
    <w:rsid w:val="000573A9"/>
    <w:rsid w:val="00073295"/>
    <w:rsid w:val="00085D22"/>
    <w:rsid w:val="00093AB0"/>
    <w:rsid w:val="000A7FB7"/>
    <w:rsid w:val="000C5C77"/>
    <w:rsid w:val="000E3912"/>
    <w:rsid w:val="0010070F"/>
    <w:rsid w:val="0015112E"/>
    <w:rsid w:val="001552E7"/>
    <w:rsid w:val="001566B4"/>
    <w:rsid w:val="00163FB7"/>
    <w:rsid w:val="001A66B7"/>
    <w:rsid w:val="001C279E"/>
    <w:rsid w:val="001D459E"/>
    <w:rsid w:val="001E4CCD"/>
    <w:rsid w:val="00204BBF"/>
    <w:rsid w:val="00211F02"/>
    <w:rsid w:val="0022348D"/>
    <w:rsid w:val="002361CC"/>
    <w:rsid w:val="0027011C"/>
    <w:rsid w:val="00274200"/>
    <w:rsid w:val="00275740"/>
    <w:rsid w:val="00297E9B"/>
    <w:rsid w:val="002A0269"/>
    <w:rsid w:val="00303108"/>
    <w:rsid w:val="00303684"/>
    <w:rsid w:val="00303CBE"/>
    <w:rsid w:val="003143F5"/>
    <w:rsid w:val="00314854"/>
    <w:rsid w:val="00336368"/>
    <w:rsid w:val="00350D8A"/>
    <w:rsid w:val="00355243"/>
    <w:rsid w:val="003641DD"/>
    <w:rsid w:val="00394191"/>
    <w:rsid w:val="003B2CB4"/>
    <w:rsid w:val="003C51CD"/>
    <w:rsid w:val="003C6034"/>
    <w:rsid w:val="003E0707"/>
    <w:rsid w:val="00400B5C"/>
    <w:rsid w:val="004368E0"/>
    <w:rsid w:val="004C13DD"/>
    <w:rsid w:val="004C3220"/>
    <w:rsid w:val="004D3ABE"/>
    <w:rsid w:val="004D428B"/>
    <w:rsid w:val="004E3441"/>
    <w:rsid w:val="00500579"/>
    <w:rsid w:val="00570E7C"/>
    <w:rsid w:val="00581732"/>
    <w:rsid w:val="005A5366"/>
    <w:rsid w:val="005B4544"/>
    <w:rsid w:val="005C09DA"/>
    <w:rsid w:val="006369EB"/>
    <w:rsid w:val="00637E73"/>
    <w:rsid w:val="006865E9"/>
    <w:rsid w:val="00686E9A"/>
    <w:rsid w:val="00691F3E"/>
    <w:rsid w:val="00694BFB"/>
    <w:rsid w:val="006A106B"/>
    <w:rsid w:val="006C523D"/>
    <w:rsid w:val="006C6502"/>
    <w:rsid w:val="006D4036"/>
    <w:rsid w:val="00794B71"/>
    <w:rsid w:val="007A5259"/>
    <w:rsid w:val="007A7081"/>
    <w:rsid w:val="007F1CF5"/>
    <w:rsid w:val="0082124F"/>
    <w:rsid w:val="008262FD"/>
    <w:rsid w:val="00834EDE"/>
    <w:rsid w:val="008736AA"/>
    <w:rsid w:val="008D275D"/>
    <w:rsid w:val="00927C70"/>
    <w:rsid w:val="00927D2C"/>
    <w:rsid w:val="00946186"/>
    <w:rsid w:val="00956957"/>
    <w:rsid w:val="00980327"/>
    <w:rsid w:val="00986478"/>
    <w:rsid w:val="00997680"/>
    <w:rsid w:val="009B5557"/>
    <w:rsid w:val="009E52CD"/>
    <w:rsid w:val="009F1067"/>
    <w:rsid w:val="00A31E01"/>
    <w:rsid w:val="00A527AD"/>
    <w:rsid w:val="00A718CF"/>
    <w:rsid w:val="00A86828"/>
    <w:rsid w:val="00A92646"/>
    <w:rsid w:val="00AA069B"/>
    <w:rsid w:val="00AA60B8"/>
    <w:rsid w:val="00AE48A0"/>
    <w:rsid w:val="00AE61BE"/>
    <w:rsid w:val="00B16F25"/>
    <w:rsid w:val="00B24422"/>
    <w:rsid w:val="00B66B81"/>
    <w:rsid w:val="00B71E6F"/>
    <w:rsid w:val="00B80C20"/>
    <w:rsid w:val="00B844FE"/>
    <w:rsid w:val="00B86B4F"/>
    <w:rsid w:val="00BA1F84"/>
    <w:rsid w:val="00BC562B"/>
    <w:rsid w:val="00C01166"/>
    <w:rsid w:val="00C33014"/>
    <w:rsid w:val="00C33434"/>
    <w:rsid w:val="00C34869"/>
    <w:rsid w:val="00C42EB6"/>
    <w:rsid w:val="00C62327"/>
    <w:rsid w:val="00C6233B"/>
    <w:rsid w:val="00C85096"/>
    <w:rsid w:val="00CB20EF"/>
    <w:rsid w:val="00CB729A"/>
    <w:rsid w:val="00CC1F3B"/>
    <w:rsid w:val="00CD12CB"/>
    <w:rsid w:val="00CD36CF"/>
    <w:rsid w:val="00CF1DCA"/>
    <w:rsid w:val="00D11EEF"/>
    <w:rsid w:val="00D449AC"/>
    <w:rsid w:val="00D579FC"/>
    <w:rsid w:val="00D81C16"/>
    <w:rsid w:val="00DB7979"/>
    <w:rsid w:val="00DE526B"/>
    <w:rsid w:val="00DE7DF4"/>
    <w:rsid w:val="00DF199D"/>
    <w:rsid w:val="00E01542"/>
    <w:rsid w:val="00E13EF8"/>
    <w:rsid w:val="00E365F1"/>
    <w:rsid w:val="00E4752E"/>
    <w:rsid w:val="00E62F48"/>
    <w:rsid w:val="00E831B3"/>
    <w:rsid w:val="00E95FBC"/>
    <w:rsid w:val="00EC5E63"/>
    <w:rsid w:val="00ED5437"/>
    <w:rsid w:val="00EE70CB"/>
    <w:rsid w:val="00F2084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44A9"/>
  <w15:chartTrackingRefBased/>
  <w15:docId w15:val="{81F87083-A1BF-438F-A2C7-F48D12D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4BBF"/>
    <w:rPr>
      <w:rFonts w:eastAsia="Calibri"/>
      <w:b/>
      <w:caps/>
      <w:color w:val="000000"/>
      <w:sz w:val="24"/>
    </w:rPr>
  </w:style>
  <w:style w:type="character" w:customStyle="1" w:styleId="SectionBodyChar">
    <w:name w:val="Section Body Char"/>
    <w:link w:val="SectionBody"/>
    <w:rsid w:val="00204BB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6394BC047466BB11A2CF37ACC7A54"/>
        <w:category>
          <w:name w:val="General"/>
          <w:gallery w:val="placeholder"/>
        </w:category>
        <w:types>
          <w:type w:val="bbPlcHdr"/>
        </w:types>
        <w:behaviors>
          <w:behavior w:val="content"/>
        </w:behaviors>
        <w:guid w:val="{2CD7938E-9CB9-499D-9D63-153935BDB440}"/>
      </w:docPartPr>
      <w:docPartBody>
        <w:p w:rsidR="00956625" w:rsidRDefault="00956625">
          <w:pPr>
            <w:pStyle w:val="7F96394BC047466BB11A2CF37ACC7A54"/>
          </w:pPr>
          <w:r w:rsidRPr="00B844FE">
            <w:t>Prefix Text</w:t>
          </w:r>
        </w:p>
      </w:docPartBody>
    </w:docPart>
    <w:docPart>
      <w:docPartPr>
        <w:name w:val="47D10AC30B7D470EB5DE0ECF34E8D6C5"/>
        <w:category>
          <w:name w:val="General"/>
          <w:gallery w:val="placeholder"/>
        </w:category>
        <w:types>
          <w:type w:val="bbPlcHdr"/>
        </w:types>
        <w:behaviors>
          <w:behavior w:val="content"/>
        </w:behaviors>
        <w:guid w:val="{4524BFE0-F9D2-456A-AD8D-D44C5B490380}"/>
      </w:docPartPr>
      <w:docPartBody>
        <w:p w:rsidR="00956625" w:rsidRDefault="00956625">
          <w:pPr>
            <w:pStyle w:val="47D10AC30B7D470EB5DE0ECF34E8D6C5"/>
          </w:pPr>
          <w:r w:rsidRPr="00B844FE">
            <w:t>[Type here]</w:t>
          </w:r>
        </w:p>
      </w:docPartBody>
    </w:docPart>
    <w:docPart>
      <w:docPartPr>
        <w:name w:val="F94C513B44584F2F95B03AE734329313"/>
        <w:category>
          <w:name w:val="General"/>
          <w:gallery w:val="placeholder"/>
        </w:category>
        <w:types>
          <w:type w:val="bbPlcHdr"/>
        </w:types>
        <w:behaviors>
          <w:behavior w:val="content"/>
        </w:behaviors>
        <w:guid w:val="{FAE279A9-EC10-43C4-9C39-73E5CFA35FAE}"/>
      </w:docPartPr>
      <w:docPartBody>
        <w:p w:rsidR="00956625" w:rsidRDefault="00956625">
          <w:pPr>
            <w:pStyle w:val="F94C513B44584F2F95B03AE734329313"/>
          </w:pPr>
          <w:r w:rsidRPr="00B844FE">
            <w:t>Number</w:t>
          </w:r>
        </w:p>
      </w:docPartBody>
    </w:docPart>
    <w:docPart>
      <w:docPartPr>
        <w:name w:val="337D0DCDCB2C42A9848235E448950521"/>
        <w:category>
          <w:name w:val="General"/>
          <w:gallery w:val="placeholder"/>
        </w:category>
        <w:types>
          <w:type w:val="bbPlcHdr"/>
        </w:types>
        <w:behaviors>
          <w:behavior w:val="content"/>
        </w:behaviors>
        <w:guid w:val="{2BF380C2-2175-4AA7-9929-14F6AAEC1CAC}"/>
      </w:docPartPr>
      <w:docPartBody>
        <w:p w:rsidR="00956625" w:rsidRDefault="00956625">
          <w:pPr>
            <w:pStyle w:val="337D0DCDCB2C42A9848235E448950521"/>
          </w:pPr>
          <w:r w:rsidRPr="00B844FE">
            <w:t>Enter Sponsors Here</w:t>
          </w:r>
        </w:p>
      </w:docPartBody>
    </w:docPart>
    <w:docPart>
      <w:docPartPr>
        <w:name w:val="79E6497505FA449CA62E0BDA9445E981"/>
        <w:category>
          <w:name w:val="General"/>
          <w:gallery w:val="placeholder"/>
        </w:category>
        <w:types>
          <w:type w:val="bbPlcHdr"/>
        </w:types>
        <w:behaviors>
          <w:behavior w:val="content"/>
        </w:behaviors>
        <w:guid w:val="{49EA40EE-60E1-40EE-8289-FB8AB858C194}"/>
      </w:docPartPr>
      <w:docPartBody>
        <w:p w:rsidR="00956625" w:rsidRDefault="00956625">
          <w:pPr>
            <w:pStyle w:val="79E6497505FA449CA62E0BDA9445E9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25"/>
    <w:rsid w:val="001E4CCD"/>
    <w:rsid w:val="00336368"/>
    <w:rsid w:val="00355243"/>
    <w:rsid w:val="00570E7C"/>
    <w:rsid w:val="00581732"/>
    <w:rsid w:val="005B4544"/>
    <w:rsid w:val="00956625"/>
    <w:rsid w:val="00997680"/>
    <w:rsid w:val="00A92646"/>
    <w:rsid w:val="00C6233B"/>
    <w:rsid w:val="00D1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6394BC047466BB11A2CF37ACC7A54">
    <w:name w:val="7F96394BC047466BB11A2CF37ACC7A54"/>
  </w:style>
  <w:style w:type="paragraph" w:customStyle="1" w:styleId="47D10AC30B7D470EB5DE0ECF34E8D6C5">
    <w:name w:val="47D10AC30B7D470EB5DE0ECF34E8D6C5"/>
  </w:style>
  <w:style w:type="paragraph" w:customStyle="1" w:styleId="F94C513B44584F2F95B03AE734329313">
    <w:name w:val="F94C513B44584F2F95B03AE734329313"/>
  </w:style>
  <w:style w:type="paragraph" w:customStyle="1" w:styleId="337D0DCDCB2C42A9848235E448950521">
    <w:name w:val="337D0DCDCB2C42A9848235E448950521"/>
  </w:style>
  <w:style w:type="character" w:styleId="PlaceholderText">
    <w:name w:val="Placeholder Text"/>
    <w:basedOn w:val="DefaultParagraphFont"/>
    <w:uiPriority w:val="99"/>
    <w:semiHidden/>
    <w:rPr>
      <w:color w:val="808080"/>
    </w:rPr>
  </w:style>
  <w:style w:type="paragraph" w:customStyle="1" w:styleId="79E6497505FA449CA62E0BDA9445E981">
    <w:name w:val="79E6497505FA449CA62E0BDA9445E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