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9D6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B55E23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9251F5">
        <w:t>6</w:t>
      </w:r>
      <w:r>
        <w:t xml:space="preserve"> </w:t>
      </w:r>
      <w:r w:rsidR="003C6034">
        <w:rPr>
          <w:caps w:val="0"/>
        </w:rPr>
        <w:t>REGULAR SESSION</w:t>
      </w:r>
    </w:p>
    <w:p w14:paraId="18D520FE" w14:textId="77777777" w:rsidR="00CD36CF" w:rsidRDefault="00C64FBC" w:rsidP="00CC1F3B">
      <w:pPr>
        <w:pStyle w:val="TitlePageBillPrefix"/>
      </w:pPr>
      <w:sdt>
        <w:sdtPr>
          <w:tag w:val="IntroDate"/>
          <w:id w:val="-1236936958"/>
          <w:placeholder>
            <w:docPart w:val="2F33CD9ED1E34E7EBF23B11AC60FB0BC"/>
          </w:placeholder>
          <w:text/>
        </w:sdtPr>
        <w:sdtEndPr/>
        <w:sdtContent>
          <w:r w:rsidR="00AE48A0">
            <w:t>Introduced</w:t>
          </w:r>
        </w:sdtContent>
      </w:sdt>
    </w:p>
    <w:p w14:paraId="435F7A27" w14:textId="4B326FE1" w:rsidR="00CD36CF" w:rsidRDefault="00C64FB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9CAD41848FF4593A0CD358ED36991A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2D992A0C7584832845EC87744220BFA"/>
          </w:placeholder>
          <w:text/>
        </w:sdtPr>
        <w:sdtEndPr/>
        <w:sdtContent>
          <w:r>
            <w:t>4599</w:t>
          </w:r>
        </w:sdtContent>
      </w:sdt>
    </w:p>
    <w:p w14:paraId="40DE07C1" w14:textId="3558818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55700C9F432495CB5621AC810D49698"/>
          </w:placeholder>
          <w:text w:multiLine="1"/>
        </w:sdtPr>
        <w:sdtEndPr/>
        <w:sdtContent>
          <w:r w:rsidR="00D600FA">
            <w:t>Delegate</w:t>
          </w:r>
          <w:r w:rsidR="000B1DA2">
            <w:t>s</w:t>
          </w:r>
          <w:r w:rsidR="00D600FA">
            <w:t xml:space="preserve"> Burkhammer</w:t>
          </w:r>
          <w:r w:rsidR="000B1DA2">
            <w:t xml:space="preserve"> and Worrell</w:t>
          </w:r>
        </w:sdtContent>
      </w:sdt>
    </w:p>
    <w:p w14:paraId="20DC4BEF" w14:textId="7DC6606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A22BB3BF17946C99E386F0D87478AFA"/>
          </w:placeholder>
          <w:text w:multiLine="1"/>
        </w:sdtPr>
        <w:sdtEndPr/>
        <w:sdtContent>
          <w:r w:rsidR="00C64FBC">
            <w:t>Introduced January 20, 2026; referred to the Committee on Health and Human Resources then the Judiciary</w:t>
          </w:r>
        </w:sdtContent>
      </w:sdt>
      <w:r>
        <w:t>]</w:t>
      </w:r>
    </w:p>
    <w:p w14:paraId="3E59DAFA" w14:textId="29A4E6E5" w:rsidR="00303684" w:rsidRDefault="0000526A" w:rsidP="00CC1F3B">
      <w:pPr>
        <w:pStyle w:val="TitleSection"/>
      </w:pPr>
      <w:r w:rsidRPr="00D600FA">
        <w:lastRenderedPageBreak/>
        <w:t>A BILL</w:t>
      </w:r>
      <w:r w:rsidR="0067475D" w:rsidRPr="00D600FA">
        <w:t xml:space="preserve"> to amend the Code of West Virginia, 1931, as amended, by </w:t>
      </w:r>
      <w:r w:rsidR="0067475D" w:rsidRPr="00AB25AD">
        <w:rPr>
          <w:color w:val="auto"/>
        </w:rPr>
        <w:t xml:space="preserve">adding </w:t>
      </w:r>
      <w:r w:rsidR="0067475D" w:rsidRPr="00AB25AD">
        <w:rPr>
          <w:strike/>
          <w:color w:val="auto"/>
        </w:rPr>
        <w:t>thereto</w:t>
      </w:r>
      <w:r w:rsidR="0067475D" w:rsidRPr="00AB25AD">
        <w:rPr>
          <w:color w:val="auto"/>
        </w:rPr>
        <w:t xml:space="preserve"> </w:t>
      </w:r>
      <w:r w:rsidR="0067475D" w:rsidRPr="00D600FA">
        <w:t>a new section, designated §1</w:t>
      </w:r>
      <w:r w:rsidR="00D600FA" w:rsidRPr="00D600FA">
        <w:t>6B-15-10</w:t>
      </w:r>
      <w:r w:rsidR="0067475D" w:rsidRPr="00D600FA">
        <w:t>, relating to</w:t>
      </w:r>
      <w:r w:rsidR="00D600FA" w:rsidRPr="00D600FA">
        <w:t xml:space="preserve"> modifying the West Virginia Clearance for Access: Registry and Employment Screening Act ("WV Cares") background check variance process;</w:t>
      </w:r>
      <w:r w:rsidR="00D600FA">
        <w:t xml:space="preserve"> </w:t>
      </w:r>
      <w:r w:rsidR="0089381D">
        <w:t>providing for portability requirements; providing for durational validity; establishing a review timeline; creating supervision relief; refining disqualifying offenses; providing for a single fitness record; providing for due process and confidentiality; and providing for a timeline.</w:t>
      </w:r>
    </w:p>
    <w:p w14:paraId="183289C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16A7C73" w14:textId="432D0BFF" w:rsidR="00D600FA" w:rsidRPr="00D600FA" w:rsidRDefault="00D600FA" w:rsidP="00D600FA">
      <w:pPr>
        <w:pStyle w:val="ArticleHeading"/>
        <w:rPr>
          <w:color w:val="auto"/>
        </w:rPr>
      </w:pPr>
      <w:r w:rsidRPr="00D600FA">
        <w:rPr>
          <w:color w:val="auto"/>
        </w:rPr>
        <w:t>ARTICLE 15. WEST VIRGINIA CLEARANCE FOR ACCESS: REGISTRY AND EMPLOYMENT SCREENING ACT.</w:t>
      </w:r>
    </w:p>
    <w:p w14:paraId="1C67DA18" w14:textId="77777777" w:rsidR="00D600FA" w:rsidRPr="0089381D" w:rsidRDefault="00D765A9" w:rsidP="00D765A9">
      <w:pPr>
        <w:pStyle w:val="SectionHeading"/>
        <w:rPr>
          <w:u w:val="single"/>
        </w:rPr>
        <w:sectPr w:rsidR="00D600FA" w:rsidRPr="0089381D" w:rsidSect="008938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81D">
        <w:rPr>
          <w:u w:val="single"/>
        </w:rPr>
        <w:t>§1</w:t>
      </w:r>
      <w:r w:rsidR="00D600FA" w:rsidRPr="0089381D">
        <w:rPr>
          <w:u w:val="single"/>
        </w:rPr>
        <w:t>6B-15-10</w:t>
      </w:r>
      <w:r w:rsidRPr="0089381D">
        <w:rPr>
          <w:u w:val="single"/>
        </w:rPr>
        <w:t xml:space="preserve">. </w:t>
      </w:r>
      <w:r w:rsidR="00D600FA" w:rsidRPr="0089381D">
        <w:rPr>
          <w:u w:val="single"/>
        </w:rPr>
        <w:t>Miscellaneous provisions concerning CARES</w:t>
      </w:r>
      <w:r w:rsidRPr="0089381D">
        <w:rPr>
          <w:u w:val="single"/>
        </w:rPr>
        <w:t>.</w:t>
      </w:r>
    </w:p>
    <w:p w14:paraId="12AEB2DE" w14:textId="45DB0DE2" w:rsidR="00D600FA" w:rsidRPr="0089381D" w:rsidRDefault="00FC688E" w:rsidP="00D600FA">
      <w:pPr>
        <w:pStyle w:val="SectionBody"/>
        <w:rPr>
          <w:u w:val="single"/>
        </w:rPr>
      </w:pPr>
      <w:r w:rsidRPr="0089381D">
        <w:rPr>
          <w:u w:val="single"/>
        </w:rPr>
        <w:t xml:space="preserve">(a) </w:t>
      </w:r>
      <w:r w:rsidR="00D600FA" w:rsidRPr="0089381D">
        <w:rPr>
          <w:i/>
          <w:iCs/>
          <w:u w:val="single"/>
        </w:rPr>
        <w:t>Portability requirements</w:t>
      </w:r>
      <w:r w:rsidR="00D600FA" w:rsidRPr="0089381D">
        <w:rPr>
          <w:u w:val="single"/>
        </w:rPr>
        <w:t xml:space="preserve"> – </w:t>
      </w:r>
    </w:p>
    <w:p w14:paraId="403F4131" w14:textId="77777777" w:rsidR="00D600FA" w:rsidRPr="0089381D" w:rsidRDefault="00D600FA" w:rsidP="00D600FA">
      <w:pPr>
        <w:pStyle w:val="SectionBody"/>
        <w:rPr>
          <w:u w:val="single"/>
        </w:rPr>
      </w:pPr>
      <w:r w:rsidRPr="0089381D">
        <w:rPr>
          <w:u w:val="single"/>
        </w:rPr>
        <w:t xml:space="preserve">(1) For purposes of this article, a granted variance shall follow an individual, not the employer. </w:t>
      </w:r>
    </w:p>
    <w:p w14:paraId="5310B2C2" w14:textId="7E45DDC2" w:rsidR="00D600FA" w:rsidRPr="0089381D" w:rsidRDefault="00D600FA" w:rsidP="00D600FA">
      <w:pPr>
        <w:pStyle w:val="SectionBody"/>
        <w:rPr>
          <w:u w:val="single"/>
        </w:rPr>
      </w:pPr>
      <w:r w:rsidRPr="0089381D">
        <w:rPr>
          <w:u w:val="single"/>
        </w:rPr>
        <w:t>(2) Any licensed provider may rely on the active variance in the registry.</w:t>
      </w:r>
    </w:p>
    <w:p w14:paraId="5C498124" w14:textId="77777777" w:rsidR="00D600FA" w:rsidRPr="0089381D" w:rsidRDefault="00D600FA" w:rsidP="00D600FA">
      <w:pPr>
        <w:pStyle w:val="SectionBody"/>
        <w:rPr>
          <w:u w:val="single"/>
        </w:rPr>
      </w:pPr>
      <w:r w:rsidRPr="0089381D">
        <w:rPr>
          <w:u w:val="single"/>
        </w:rPr>
        <w:t xml:space="preserve">(b) </w:t>
      </w:r>
      <w:r w:rsidRPr="0089381D">
        <w:rPr>
          <w:i/>
          <w:iCs/>
          <w:u w:val="single"/>
        </w:rPr>
        <w:t>Durational validity</w:t>
      </w:r>
      <w:r w:rsidRPr="0089381D">
        <w:rPr>
          <w:u w:val="single"/>
        </w:rPr>
        <w:t xml:space="preserve">. – </w:t>
      </w:r>
    </w:p>
    <w:p w14:paraId="45A1E7D9" w14:textId="742D0580" w:rsidR="0089381D" w:rsidRDefault="00D600FA" w:rsidP="00D600FA">
      <w:pPr>
        <w:pStyle w:val="SectionBody"/>
        <w:rPr>
          <w:u w:val="single"/>
        </w:rPr>
      </w:pPr>
      <w:r w:rsidRPr="0089381D">
        <w:rPr>
          <w:u w:val="single"/>
        </w:rPr>
        <w:t xml:space="preserve">(1) Variances </w:t>
      </w:r>
      <w:r w:rsidR="0089381D">
        <w:rPr>
          <w:u w:val="single"/>
        </w:rPr>
        <w:t>issue</w:t>
      </w:r>
      <w:r w:rsidR="007D4458">
        <w:rPr>
          <w:u w:val="single"/>
        </w:rPr>
        <w:t>d</w:t>
      </w:r>
      <w:r w:rsidR="0089381D">
        <w:rPr>
          <w:u w:val="single"/>
        </w:rPr>
        <w:t xml:space="preserve"> pursuant to this article shall </w:t>
      </w:r>
      <w:r w:rsidRPr="0089381D">
        <w:rPr>
          <w:u w:val="single"/>
        </w:rPr>
        <w:t xml:space="preserve">remain valid through the normal five-year recheck cycle. </w:t>
      </w:r>
    </w:p>
    <w:p w14:paraId="68813A0A" w14:textId="32951C97" w:rsidR="00D600FA" w:rsidRPr="0089381D" w:rsidRDefault="0089381D" w:rsidP="00D600FA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D600FA" w:rsidRPr="0089381D">
        <w:rPr>
          <w:u w:val="single"/>
        </w:rPr>
        <w:t xml:space="preserve">A new variance review </w:t>
      </w:r>
      <w:r>
        <w:rPr>
          <w:u w:val="single"/>
        </w:rPr>
        <w:t>shall</w:t>
      </w:r>
      <w:r w:rsidR="00D600FA" w:rsidRPr="0089381D">
        <w:rPr>
          <w:u w:val="single"/>
        </w:rPr>
        <w:t xml:space="preserve"> only </w:t>
      </w:r>
      <w:r>
        <w:rPr>
          <w:u w:val="single"/>
        </w:rPr>
        <w:t xml:space="preserve">be </w:t>
      </w:r>
      <w:r w:rsidR="00D600FA" w:rsidRPr="0089381D">
        <w:rPr>
          <w:u w:val="single"/>
        </w:rPr>
        <w:t>required if:</w:t>
      </w:r>
    </w:p>
    <w:p w14:paraId="4F3C6866" w14:textId="23358A97" w:rsidR="00D600FA" w:rsidRPr="0089381D" w:rsidRDefault="00D600FA" w:rsidP="0089381D">
      <w:pPr>
        <w:pStyle w:val="SectionBody"/>
        <w:rPr>
          <w:u w:val="single"/>
        </w:rPr>
      </w:pPr>
      <w:r w:rsidRPr="0089381D">
        <w:rPr>
          <w:u w:val="single"/>
        </w:rPr>
        <w:t xml:space="preserve">(A) </w:t>
      </w:r>
      <w:r w:rsidR="0089381D" w:rsidRPr="0089381D">
        <w:rPr>
          <w:u w:val="single"/>
        </w:rPr>
        <w:t xml:space="preserve">The Record of Arrest and Prosecution (RAP) Back feature </w:t>
      </w:r>
      <w:r w:rsidRPr="0089381D">
        <w:rPr>
          <w:u w:val="single"/>
        </w:rPr>
        <w:t>reports a new disqualifying event; or</w:t>
      </w:r>
    </w:p>
    <w:p w14:paraId="359E4EBE" w14:textId="5E0D9174" w:rsidR="00D600FA" w:rsidRPr="0089381D" w:rsidRDefault="00D600FA" w:rsidP="00D600FA">
      <w:pPr>
        <w:pStyle w:val="SectionBody"/>
        <w:rPr>
          <w:u w:val="single"/>
        </w:rPr>
      </w:pPr>
      <w:r w:rsidRPr="0089381D">
        <w:rPr>
          <w:u w:val="single"/>
        </w:rPr>
        <w:t>(B) A material misrepresentation is discovered.</w:t>
      </w:r>
    </w:p>
    <w:p w14:paraId="59EF7B9A" w14:textId="61431075" w:rsidR="0089381D" w:rsidRDefault="00D600FA" w:rsidP="0089381D">
      <w:pPr>
        <w:pStyle w:val="SectionBody"/>
        <w:rPr>
          <w:u w:val="single"/>
        </w:rPr>
      </w:pPr>
      <w:r w:rsidRPr="0089381D">
        <w:rPr>
          <w:u w:val="single"/>
        </w:rPr>
        <w:t xml:space="preserve">(c) </w:t>
      </w:r>
      <w:r w:rsidRPr="0089381D">
        <w:rPr>
          <w:i/>
          <w:iCs/>
          <w:u w:val="single"/>
        </w:rPr>
        <w:t xml:space="preserve">Review </w:t>
      </w:r>
      <w:r w:rsidR="0089381D">
        <w:rPr>
          <w:i/>
          <w:iCs/>
          <w:u w:val="single"/>
        </w:rPr>
        <w:t>t</w:t>
      </w:r>
      <w:r w:rsidRPr="0089381D">
        <w:rPr>
          <w:i/>
          <w:iCs/>
          <w:u w:val="single"/>
        </w:rPr>
        <w:t>imeline</w:t>
      </w:r>
      <w:r w:rsidRPr="0089381D">
        <w:rPr>
          <w:u w:val="single"/>
        </w:rPr>
        <w:t xml:space="preserve"> – </w:t>
      </w:r>
      <w:r w:rsidR="0089381D">
        <w:rPr>
          <w:u w:val="single"/>
        </w:rPr>
        <w:t>T</w:t>
      </w:r>
      <w:r w:rsidRPr="0089381D">
        <w:rPr>
          <w:u w:val="single"/>
        </w:rPr>
        <w:t xml:space="preserve">he Office of Inspector General </w:t>
      </w:r>
      <w:r w:rsidR="0089381D">
        <w:rPr>
          <w:u w:val="single"/>
        </w:rPr>
        <w:t>shall</w:t>
      </w:r>
      <w:r w:rsidRPr="0089381D">
        <w:rPr>
          <w:u w:val="single"/>
        </w:rPr>
        <w:t xml:space="preserve"> complete variance reviews within 30 days of submission, unless exceptional cause is documented.</w:t>
      </w:r>
    </w:p>
    <w:p w14:paraId="7E2D1F10" w14:textId="77777777" w:rsidR="0089381D" w:rsidRDefault="0089381D" w:rsidP="0089381D">
      <w:pPr>
        <w:pStyle w:val="SectionBody"/>
        <w:rPr>
          <w:u w:val="single"/>
        </w:rPr>
      </w:pPr>
      <w:r>
        <w:rPr>
          <w:u w:val="single"/>
        </w:rPr>
        <w:t xml:space="preserve">(d) </w:t>
      </w:r>
      <w:r w:rsidR="00D600FA" w:rsidRPr="0089381D">
        <w:rPr>
          <w:i/>
          <w:iCs/>
          <w:u w:val="single"/>
        </w:rPr>
        <w:t xml:space="preserve">Supervision </w:t>
      </w:r>
      <w:r w:rsidRPr="0089381D">
        <w:rPr>
          <w:i/>
          <w:iCs/>
          <w:u w:val="single"/>
        </w:rPr>
        <w:t>r</w:t>
      </w:r>
      <w:r w:rsidR="00D600FA" w:rsidRPr="0089381D">
        <w:rPr>
          <w:i/>
          <w:iCs/>
          <w:u w:val="single"/>
        </w:rPr>
        <w:t>elief</w:t>
      </w:r>
      <w:r>
        <w:rPr>
          <w:u w:val="single"/>
        </w:rPr>
        <w:t xml:space="preserve">. – </w:t>
      </w:r>
    </w:p>
    <w:p w14:paraId="77DCDAC9" w14:textId="77777777" w:rsidR="0089381D" w:rsidRDefault="0089381D" w:rsidP="0089381D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D600FA" w:rsidRPr="0089381D">
        <w:rPr>
          <w:u w:val="single"/>
        </w:rPr>
        <w:t xml:space="preserve">Employees with an active variance pending renewal may continue working without mandatory continuous supervision, unless </w:t>
      </w:r>
      <w:r>
        <w:rPr>
          <w:u w:val="single"/>
        </w:rPr>
        <w:t xml:space="preserve">the </w:t>
      </w:r>
      <w:r w:rsidRPr="0089381D">
        <w:rPr>
          <w:u w:val="single"/>
        </w:rPr>
        <w:t xml:space="preserve">Record of Arrest and Prosecution (RAP) Back feature </w:t>
      </w:r>
      <w:r w:rsidR="00D600FA" w:rsidRPr="0089381D">
        <w:rPr>
          <w:u w:val="single"/>
        </w:rPr>
        <w:t xml:space="preserve">identifies new charges. </w:t>
      </w:r>
    </w:p>
    <w:p w14:paraId="765E8586" w14:textId="6FCF4B51" w:rsidR="0089381D" w:rsidRDefault="0089381D" w:rsidP="0089381D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D600FA" w:rsidRPr="0089381D">
        <w:rPr>
          <w:u w:val="single"/>
        </w:rPr>
        <w:t xml:space="preserve">Providers </w:t>
      </w:r>
      <w:r>
        <w:rPr>
          <w:u w:val="single"/>
        </w:rPr>
        <w:t xml:space="preserve">shall </w:t>
      </w:r>
      <w:r w:rsidR="00D600FA" w:rsidRPr="0089381D">
        <w:rPr>
          <w:u w:val="single"/>
        </w:rPr>
        <w:t>retain discretion to use individualized safety plans.</w:t>
      </w:r>
    </w:p>
    <w:p w14:paraId="6D66BC52" w14:textId="79F46055" w:rsidR="0089381D" w:rsidRDefault="0089381D" w:rsidP="0045620F">
      <w:pPr>
        <w:pStyle w:val="SectionBody"/>
        <w:rPr>
          <w:u w:val="single"/>
        </w:rPr>
      </w:pPr>
      <w:r>
        <w:rPr>
          <w:u w:val="single"/>
        </w:rPr>
        <w:t xml:space="preserve">(e) </w:t>
      </w:r>
      <w:r w:rsidR="00D600FA" w:rsidRPr="0089381D">
        <w:rPr>
          <w:i/>
          <w:iCs/>
          <w:u w:val="single"/>
        </w:rPr>
        <w:t xml:space="preserve">Refined </w:t>
      </w:r>
      <w:r w:rsidRPr="0089381D">
        <w:rPr>
          <w:i/>
          <w:iCs/>
          <w:u w:val="single"/>
        </w:rPr>
        <w:t>d</w:t>
      </w:r>
      <w:r w:rsidR="00D600FA" w:rsidRPr="0089381D">
        <w:rPr>
          <w:i/>
          <w:iCs/>
          <w:u w:val="single"/>
        </w:rPr>
        <w:t xml:space="preserve">isqualifying </w:t>
      </w:r>
      <w:r w:rsidRPr="0089381D">
        <w:rPr>
          <w:i/>
          <w:iCs/>
          <w:u w:val="single"/>
        </w:rPr>
        <w:t>o</w:t>
      </w:r>
      <w:r w:rsidR="00D600FA" w:rsidRPr="0089381D">
        <w:rPr>
          <w:i/>
          <w:iCs/>
          <w:u w:val="single"/>
        </w:rPr>
        <w:t>ffenses</w:t>
      </w:r>
      <w:r>
        <w:rPr>
          <w:u w:val="single"/>
        </w:rPr>
        <w:t xml:space="preserve"> – The Department of Human Services shall</w:t>
      </w:r>
      <w:r w:rsidR="00D600FA" w:rsidRPr="0089381D">
        <w:rPr>
          <w:u w:val="single"/>
        </w:rPr>
        <w:t xml:space="preserve"> revise the list of disqualifying offenses to ensure only those directly related to abuse, violence, fraud, or safety-sensitive risks remain disqualifying. </w:t>
      </w:r>
    </w:p>
    <w:p w14:paraId="3F3F73BE" w14:textId="77777777" w:rsidR="0089381D" w:rsidRDefault="0089381D" w:rsidP="0089381D">
      <w:pPr>
        <w:pStyle w:val="SectionBody"/>
        <w:rPr>
          <w:u w:val="single"/>
        </w:rPr>
      </w:pPr>
      <w:r>
        <w:rPr>
          <w:u w:val="single"/>
        </w:rPr>
        <w:t xml:space="preserve">(f) </w:t>
      </w:r>
      <w:r w:rsidR="00D600FA" w:rsidRPr="0089381D">
        <w:rPr>
          <w:i/>
          <w:iCs/>
          <w:u w:val="single"/>
        </w:rPr>
        <w:t xml:space="preserve">Single </w:t>
      </w:r>
      <w:r w:rsidRPr="0089381D">
        <w:rPr>
          <w:i/>
          <w:iCs/>
          <w:u w:val="single"/>
        </w:rPr>
        <w:t>f</w:t>
      </w:r>
      <w:r w:rsidR="00D600FA" w:rsidRPr="0089381D">
        <w:rPr>
          <w:i/>
          <w:iCs/>
          <w:u w:val="single"/>
        </w:rPr>
        <w:t xml:space="preserve">itness </w:t>
      </w:r>
      <w:r w:rsidRPr="0089381D">
        <w:rPr>
          <w:i/>
          <w:iCs/>
          <w:u w:val="single"/>
        </w:rPr>
        <w:t>r</w:t>
      </w:r>
      <w:r w:rsidR="00D600FA" w:rsidRPr="0089381D">
        <w:rPr>
          <w:i/>
          <w:iCs/>
          <w:u w:val="single"/>
        </w:rPr>
        <w:t>ecord</w:t>
      </w:r>
      <w:r>
        <w:rPr>
          <w:u w:val="single"/>
        </w:rPr>
        <w:t xml:space="preserve">. – </w:t>
      </w:r>
    </w:p>
    <w:p w14:paraId="48D88C06" w14:textId="557C15B5" w:rsidR="0089381D" w:rsidRDefault="0089381D" w:rsidP="0089381D">
      <w:pPr>
        <w:pStyle w:val="SectionBody"/>
        <w:rPr>
          <w:u w:val="single"/>
        </w:rPr>
      </w:pPr>
      <w:r>
        <w:rPr>
          <w:u w:val="single"/>
        </w:rPr>
        <w:t>(1) Under the provisions of this article, t</w:t>
      </w:r>
      <w:r w:rsidR="00D600FA" w:rsidRPr="0089381D">
        <w:rPr>
          <w:u w:val="single"/>
        </w:rPr>
        <w:t xml:space="preserve">he Secretary issues a standardized Fitness Variance Determination viewable in the WV CARES registry. </w:t>
      </w:r>
    </w:p>
    <w:p w14:paraId="18872010" w14:textId="20FF707B" w:rsidR="0089381D" w:rsidRPr="004949E5" w:rsidRDefault="0089381D" w:rsidP="0089381D">
      <w:pPr>
        <w:pStyle w:val="SectionBody"/>
        <w:rPr>
          <w:color w:val="auto"/>
          <w:u w:val="single"/>
        </w:rPr>
      </w:pPr>
      <w:r>
        <w:rPr>
          <w:u w:val="single"/>
        </w:rPr>
        <w:t xml:space="preserve">(2) The </w:t>
      </w:r>
      <w:r w:rsidRPr="0089381D">
        <w:rPr>
          <w:u w:val="single"/>
        </w:rPr>
        <w:t>Office of Health Facility Licensure and Certification (OHFLAC)</w:t>
      </w:r>
      <w:r w:rsidR="00D600FA" w:rsidRPr="0089381D">
        <w:rPr>
          <w:u w:val="single"/>
        </w:rPr>
        <w:t xml:space="preserve">, </w:t>
      </w:r>
      <w:r>
        <w:rPr>
          <w:u w:val="single"/>
        </w:rPr>
        <w:t>the West Virginia Bureau for Medical Services (</w:t>
      </w:r>
      <w:r w:rsidR="00D600FA" w:rsidRPr="0089381D">
        <w:rPr>
          <w:u w:val="single"/>
        </w:rPr>
        <w:t>BMS</w:t>
      </w:r>
      <w:r>
        <w:rPr>
          <w:u w:val="single"/>
        </w:rPr>
        <w:t>)</w:t>
      </w:r>
      <w:r w:rsidR="00D600FA" w:rsidRPr="0089381D">
        <w:rPr>
          <w:u w:val="single"/>
        </w:rPr>
        <w:t>, and t</w:t>
      </w:r>
      <w:r w:rsidR="00D600FA" w:rsidRPr="004949E5">
        <w:rPr>
          <w:color w:val="auto"/>
          <w:u w:val="single"/>
        </w:rPr>
        <w:t xml:space="preserve">he </w:t>
      </w:r>
      <w:r w:rsidRPr="004949E5">
        <w:rPr>
          <w:color w:val="auto"/>
          <w:u w:val="single"/>
        </w:rPr>
        <w:t xml:space="preserve">West Virginia </w:t>
      </w:r>
      <w:r w:rsidR="007D4458" w:rsidRPr="004949E5">
        <w:rPr>
          <w:color w:val="auto"/>
          <w:u w:val="single"/>
        </w:rPr>
        <w:t>Administrative Services Organization (</w:t>
      </w:r>
      <w:r w:rsidR="00D600FA" w:rsidRPr="004949E5">
        <w:rPr>
          <w:color w:val="auto"/>
          <w:u w:val="single"/>
        </w:rPr>
        <w:t>ASO</w:t>
      </w:r>
      <w:r w:rsidR="007D4458" w:rsidRPr="004949E5">
        <w:rPr>
          <w:color w:val="auto"/>
          <w:u w:val="single"/>
        </w:rPr>
        <w:t>)</w:t>
      </w:r>
      <w:r w:rsidR="00D600FA" w:rsidRPr="004949E5">
        <w:rPr>
          <w:color w:val="auto"/>
          <w:u w:val="single"/>
        </w:rPr>
        <w:t xml:space="preserve"> </w:t>
      </w:r>
      <w:r w:rsidRPr="004949E5">
        <w:rPr>
          <w:color w:val="auto"/>
          <w:u w:val="single"/>
        </w:rPr>
        <w:t>shall</w:t>
      </w:r>
      <w:r w:rsidR="00D600FA" w:rsidRPr="004949E5">
        <w:rPr>
          <w:color w:val="auto"/>
          <w:u w:val="single"/>
        </w:rPr>
        <w:t xml:space="preserve"> accept </w:t>
      </w:r>
      <w:r w:rsidRPr="004949E5">
        <w:rPr>
          <w:color w:val="auto"/>
          <w:u w:val="single"/>
        </w:rPr>
        <w:t>the provisions of subsection (1) of this section</w:t>
      </w:r>
      <w:r w:rsidR="00D600FA" w:rsidRPr="004949E5">
        <w:rPr>
          <w:color w:val="auto"/>
          <w:u w:val="single"/>
        </w:rPr>
        <w:t xml:space="preserve"> as sufficient proof of eligibility.</w:t>
      </w:r>
    </w:p>
    <w:p w14:paraId="7D33A1B9" w14:textId="77777777" w:rsidR="0089381D" w:rsidRPr="004949E5" w:rsidRDefault="0089381D" w:rsidP="0089381D">
      <w:pPr>
        <w:pStyle w:val="SectionBody"/>
        <w:rPr>
          <w:color w:val="auto"/>
          <w:u w:val="single"/>
        </w:rPr>
      </w:pPr>
      <w:r w:rsidRPr="004949E5">
        <w:rPr>
          <w:color w:val="auto"/>
          <w:u w:val="single"/>
        </w:rPr>
        <w:t xml:space="preserve">(g) </w:t>
      </w:r>
      <w:r w:rsidR="00D600FA" w:rsidRPr="004949E5">
        <w:rPr>
          <w:i/>
          <w:iCs/>
          <w:color w:val="auto"/>
          <w:u w:val="single"/>
        </w:rPr>
        <w:t xml:space="preserve">Due </w:t>
      </w:r>
      <w:r w:rsidRPr="004949E5">
        <w:rPr>
          <w:i/>
          <w:iCs/>
          <w:color w:val="auto"/>
          <w:u w:val="single"/>
        </w:rPr>
        <w:t>p</w:t>
      </w:r>
      <w:r w:rsidR="00D600FA" w:rsidRPr="004949E5">
        <w:rPr>
          <w:i/>
          <w:iCs/>
          <w:color w:val="auto"/>
          <w:u w:val="single"/>
        </w:rPr>
        <w:t xml:space="preserve">rocess </w:t>
      </w:r>
      <w:r w:rsidRPr="004949E5">
        <w:rPr>
          <w:i/>
          <w:iCs/>
          <w:color w:val="auto"/>
          <w:u w:val="single"/>
        </w:rPr>
        <w:t>and</w:t>
      </w:r>
      <w:r w:rsidR="00D600FA" w:rsidRPr="004949E5">
        <w:rPr>
          <w:i/>
          <w:iCs/>
          <w:color w:val="auto"/>
          <w:u w:val="single"/>
        </w:rPr>
        <w:t xml:space="preserve"> </w:t>
      </w:r>
      <w:r w:rsidRPr="004949E5">
        <w:rPr>
          <w:i/>
          <w:iCs/>
          <w:color w:val="auto"/>
          <w:u w:val="single"/>
        </w:rPr>
        <w:t>c</w:t>
      </w:r>
      <w:r w:rsidR="00D600FA" w:rsidRPr="004949E5">
        <w:rPr>
          <w:i/>
          <w:iCs/>
          <w:color w:val="auto"/>
          <w:u w:val="single"/>
        </w:rPr>
        <w:t>onfidentiality</w:t>
      </w:r>
      <w:r w:rsidRPr="004949E5">
        <w:rPr>
          <w:color w:val="auto"/>
          <w:u w:val="single"/>
        </w:rPr>
        <w:t xml:space="preserve">. – </w:t>
      </w:r>
    </w:p>
    <w:p w14:paraId="6C3F2319" w14:textId="77777777" w:rsidR="0089381D" w:rsidRPr="004949E5" w:rsidRDefault="0089381D" w:rsidP="0089381D">
      <w:pPr>
        <w:pStyle w:val="SectionBody"/>
        <w:rPr>
          <w:color w:val="auto"/>
          <w:u w:val="single"/>
        </w:rPr>
      </w:pPr>
      <w:r w:rsidRPr="004949E5">
        <w:rPr>
          <w:color w:val="auto"/>
          <w:u w:val="single"/>
        </w:rPr>
        <w:t>(1) All a</w:t>
      </w:r>
      <w:r w:rsidR="00D600FA" w:rsidRPr="004949E5">
        <w:rPr>
          <w:color w:val="auto"/>
          <w:u w:val="single"/>
        </w:rPr>
        <w:t xml:space="preserve">ppeal rights remain intact. </w:t>
      </w:r>
    </w:p>
    <w:p w14:paraId="5EF9756A" w14:textId="66AEC45E" w:rsidR="0089381D" w:rsidRPr="004949E5" w:rsidRDefault="0089381D" w:rsidP="0089381D">
      <w:pPr>
        <w:pStyle w:val="SectionBody"/>
        <w:rPr>
          <w:color w:val="auto"/>
          <w:u w:val="single"/>
        </w:rPr>
      </w:pPr>
      <w:r w:rsidRPr="004949E5">
        <w:rPr>
          <w:color w:val="auto"/>
          <w:u w:val="single"/>
        </w:rPr>
        <w:t>(2) An e</w:t>
      </w:r>
      <w:r w:rsidR="00D600FA" w:rsidRPr="004949E5">
        <w:rPr>
          <w:color w:val="auto"/>
          <w:u w:val="single"/>
        </w:rPr>
        <w:t>mployer</w:t>
      </w:r>
      <w:r w:rsidRPr="004949E5">
        <w:rPr>
          <w:color w:val="auto"/>
          <w:u w:val="single"/>
        </w:rPr>
        <w:t xml:space="preserve"> shall</w:t>
      </w:r>
      <w:r w:rsidR="00D600FA" w:rsidRPr="004949E5">
        <w:rPr>
          <w:color w:val="auto"/>
          <w:u w:val="single"/>
        </w:rPr>
        <w:t xml:space="preserve"> only see</w:t>
      </w:r>
      <w:r w:rsidRPr="004949E5">
        <w:rPr>
          <w:color w:val="auto"/>
          <w:u w:val="single"/>
        </w:rPr>
        <w:t xml:space="preserve"> the</w:t>
      </w:r>
      <w:r w:rsidR="00D600FA" w:rsidRPr="004949E5">
        <w:rPr>
          <w:color w:val="auto"/>
          <w:u w:val="single"/>
        </w:rPr>
        <w:t xml:space="preserve"> determination status/conditions, </w:t>
      </w:r>
      <w:r w:rsidRPr="004949E5">
        <w:rPr>
          <w:color w:val="auto"/>
          <w:u w:val="single"/>
        </w:rPr>
        <w:t xml:space="preserve">and </w:t>
      </w:r>
      <w:r w:rsidR="00D600FA" w:rsidRPr="004949E5">
        <w:rPr>
          <w:color w:val="auto"/>
          <w:u w:val="single"/>
        </w:rPr>
        <w:t>not the underlying offense details.</w:t>
      </w:r>
    </w:p>
    <w:p w14:paraId="22DE42B2" w14:textId="1506A2C6" w:rsidR="00FC688E" w:rsidRPr="004949E5" w:rsidRDefault="0089381D" w:rsidP="00D600FA">
      <w:pPr>
        <w:pStyle w:val="SectionBody"/>
        <w:rPr>
          <w:color w:val="auto"/>
          <w:u w:val="single"/>
        </w:rPr>
      </w:pPr>
      <w:r w:rsidRPr="004949E5">
        <w:rPr>
          <w:color w:val="auto"/>
          <w:u w:val="single"/>
        </w:rPr>
        <w:t>(h)</w:t>
      </w:r>
      <w:r w:rsidR="00D600FA" w:rsidRPr="004949E5">
        <w:rPr>
          <w:color w:val="auto"/>
          <w:u w:val="single"/>
        </w:rPr>
        <w:t xml:space="preserve"> </w:t>
      </w:r>
      <w:r w:rsidR="00D600FA" w:rsidRPr="004949E5">
        <w:rPr>
          <w:i/>
          <w:iCs/>
          <w:color w:val="auto"/>
          <w:u w:val="single"/>
        </w:rPr>
        <w:t xml:space="preserve">Rules </w:t>
      </w:r>
      <w:r w:rsidRPr="004949E5">
        <w:rPr>
          <w:i/>
          <w:iCs/>
          <w:color w:val="auto"/>
          <w:u w:val="single"/>
        </w:rPr>
        <w:t>and</w:t>
      </w:r>
      <w:r w:rsidR="00D600FA" w:rsidRPr="004949E5">
        <w:rPr>
          <w:i/>
          <w:iCs/>
          <w:color w:val="auto"/>
          <w:u w:val="single"/>
        </w:rPr>
        <w:t xml:space="preserve"> </w:t>
      </w:r>
      <w:r w:rsidRPr="004949E5">
        <w:rPr>
          <w:i/>
          <w:iCs/>
          <w:color w:val="auto"/>
          <w:u w:val="single"/>
        </w:rPr>
        <w:t>t</w:t>
      </w:r>
      <w:r w:rsidR="00D600FA" w:rsidRPr="004949E5">
        <w:rPr>
          <w:i/>
          <w:iCs/>
          <w:color w:val="auto"/>
          <w:u w:val="single"/>
        </w:rPr>
        <w:t>imelines</w:t>
      </w:r>
      <w:r w:rsidRPr="004949E5">
        <w:rPr>
          <w:color w:val="auto"/>
          <w:u w:val="single"/>
        </w:rPr>
        <w:t xml:space="preserve"> – The West Virginia</w:t>
      </w:r>
      <w:r w:rsidR="00D600FA" w:rsidRPr="004949E5">
        <w:rPr>
          <w:color w:val="auto"/>
          <w:u w:val="single"/>
        </w:rPr>
        <w:t xml:space="preserve"> Office of Inspector General (WV CARES), OHFLAC, BMS, and the ASO </w:t>
      </w:r>
      <w:r w:rsidRPr="004949E5">
        <w:rPr>
          <w:color w:val="auto"/>
          <w:u w:val="single"/>
        </w:rPr>
        <w:t>shall</w:t>
      </w:r>
      <w:r w:rsidR="00D600FA" w:rsidRPr="004949E5">
        <w:rPr>
          <w:color w:val="auto"/>
          <w:u w:val="single"/>
        </w:rPr>
        <w:t xml:space="preserve"> update </w:t>
      </w:r>
      <w:r w:rsidRPr="004949E5">
        <w:rPr>
          <w:color w:val="auto"/>
          <w:u w:val="single"/>
        </w:rPr>
        <w:t xml:space="preserve">their respective </w:t>
      </w:r>
      <w:r w:rsidR="00D600FA" w:rsidRPr="004949E5">
        <w:rPr>
          <w:color w:val="auto"/>
          <w:u w:val="single"/>
        </w:rPr>
        <w:t>rules, M</w:t>
      </w:r>
      <w:r w:rsidR="007D4458" w:rsidRPr="004949E5">
        <w:rPr>
          <w:color w:val="auto"/>
          <w:u w:val="single"/>
        </w:rPr>
        <w:t>emorandum of Understanding</w:t>
      </w:r>
      <w:r w:rsidR="00F75506" w:rsidRPr="004949E5">
        <w:rPr>
          <w:color w:val="auto"/>
          <w:u w:val="single"/>
        </w:rPr>
        <w:t>s (MOUs)</w:t>
      </w:r>
      <w:r w:rsidR="00D600FA" w:rsidRPr="004949E5">
        <w:rPr>
          <w:color w:val="auto"/>
          <w:u w:val="single"/>
        </w:rPr>
        <w:t xml:space="preserve">, and </w:t>
      </w:r>
      <w:r w:rsidR="007D4458" w:rsidRPr="004949E5">
        <w:rPr>
          <w:color w:val="auto"/>
          <w:u w:val="single"/>
        </w:rPr>
        <w:t xml:space="preserve">Information Technology </w:t>
      </w:r>
      <w:r w:rsidR="00F75506" w:rsidRPr="004949E5">
        <w:rPr>
          <w:color w:val="auto"/>
          <w:u w:val="single"/>
        </w:rPr>
        <w:t xml:space="preserve">(IT) </w:t>
      </w:r>
      <w:r w:rsidR="00D600FA" w:rsidRPr="004949E5">
        <w:rPr>
          <w:color w:val="auto"/>
          <w:u w:val="single"/>
        </w:rPr>
        <w:t>systems within 180 days to reflect portability, expedited timelines, and narrowed disqualifiers.</w:t>
      </w:r>
    </w:p>
    <w:p w14:paraId="6F86CFFB" w14:textId="72C92C1E" w:rsidR="0089381D" w:rsidRPr="00453106" w:rsidRDefault="0089381D" w:rsidP="00D600FA">
      <w:pPr>
        <w:pStyle w:val="SectionBody"/>
        <w:rPr>
          <w:u w:val="single"/>
        </w:rPr>
      </w:pPr>
      <w:r>
        <w:rPr>
          <w:u w:val="single"/>
        </w:rPr>
        <w:t>(i) The provisions of this section shall become effective from passage.</w:t>
      </w:r>
    </w:p>
    <w:p w14:paraId="1BDA942B" w14:textId="77777777" w:rsidR="00C33014" w:rsidRDefault="00C33014" w:rsidP="00CC1F3B">
      <w:pPr>
        <w:pStyle w:val="Note"/>
      </w:pPr>
    </w:p>
    <w:p w14:paraId="2B72E5BA" w14:textId="08E4B633" w:rsidR="006865E9" w:rsidRDefault="00CF1DCA" w:rsidP="00CC1F3B">
      <w:pPr>
        <w:pStyle w:val="Note"/>
      </w:pPr>
      <w:r>
        <w:t xml:space="preserve">NOTE: </w:t>
      </w:r>
      <w:r w:rsidRPr="0089381D">
        <w:t>The</w:t>
      </w:r>
      <w:r w:rsidR="006865E9" w:rsidRPr="0089381D">
        <w:t xml:space="preserve"> purpose of this bill is to</w:t>
      </w:r>
      <w:r w:rsidR="006865E9">
        <w:t xml:space="preserve"> </w:t>
      </w:r>
      <w:r w:rsidR="0089381D" w:rsidRPr="00D600FA">
        <w:t>modify the West Virginia Clearance for Access: Registry and Employment Screening Act ("WV Cares") background check variance process</w:t>
      </w:r>
      <w:r w:rsidR="0089381D">
        <w:t>.</w:t>
      </w:r>
    </w:p>
    <w:p w14:paraId="71E3DB9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45310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2818" w14:textId="77777777" w:rsidR="00FE0505" w:rsidRPr="00B844FE" w:rsidRDefault="00FE0505" w:rsidP="00B844FE">
      <w:r>
        <w:separator/>
      </w:r>
    </w:p>
  </w:endnote>
  <w:endnote w:type="continuationSeparator" w:id="0">
    <w:p w14:paraId="793DCE41" w14:textId="77777777" w:rsidR="00FE0505" w:rsidRPr="00B844FE" w:rsidRDefault="00FE050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BC92D6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FE0A2B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58C6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6F4B" w14:textId="77777777" w:rsidR="00FE0505" w:rsidRPr="00B844FE" w:rsidRDefault="00FE0505" w:rsidP="00B844FE">
      <w:r>
        <w:separator/>
      </w:r>
    </w:p>
  </w:footnote>
  <w:footnote w:type="continuationSeparator" w:id="0">
    <w:p w14:paraId="3ECB0211" w14:textId="77777777" w:rsidR="00FE0505" w:rsidRPr="00B844FE" w:rsidRDefault="00FE050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238E" w14:textId="77777777" w:rsidR="002A0269" w:rsidRPr="00B844FE" w:rsidRDefault="00C64FBC">
    <w:pPr>
      <w:pStyle w:val="Header"/>
    </w:pPr>
    <w:sdt>
      <w:sdtPr>
        <w:id w:val="-684364211"/>
        <w:placeholder>
          <w:docPart w:val="89CAD41848FF4593A0CD358ED36991A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9CAD41848FF4593A0CD358ED36991A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6EA5" w14:textId="6893BA3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D600FA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600FA">
          <w:rPr>
            <w:sz w:val="22"/>
            <w:szCs w:val="22"/>
          </w:rPr>
          <w:t>2026R1751</w:t>
        </w:r>
      </w:sdtContent>
    </w:sdt>
  </w:p>
  <w:p w14:paraId="22B97A5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0CB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ACC"/>
    <w:multiLevelType w:val="hybridMultilevel"/>
    <w:tmpl w:val="1244F656"/>
    <w:lvl w:ilvl="0" w:tplc="D182E1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D18E6"/>
    <w:multiLevelType w:val="hybridMultilevel"/>
    <w:tmpl w:val="A588E8E0"/>
    <w:lvl w:ilvl="0" w:tplc="59906F80">
      <w:numFmt w:val="bullet"/>
      <w:lvlText w:val="•"/>
      <w:lvlJc w:val="left"/>
      <w:pPr>
        <w:ind w:left="2072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09E4D2B4">
      <w:numFmt w:val="bullet"/>
      <w:lvlText w:val="•"/>
      <w:lvlJc w:val="left"/>
      <w:pPr>
        <w:ind w:left="2952" w:hanging="369"/>
      </w:pPr>
      <w:rPr>
        <w:rFonts w:hint="default"/>
        <w:lang w:val="en-US" w:eastAsia="en-US" w:bidi="ar-SA"/>
      </w:rPr>
    </w:lvl>
    <w:lvl w:ilvl="2" w:tplc="DEE6BF3E">
      <w:numFmt w:val="bullet"/>
      <w:lvlText w:val="•"/>
      <w:lvlJc w:val="left"/>
      <w:pPr>
        <w:ind w:left="3824" w:hanging="369"/>
      </w:pPr>
      <w:rPr>
        <w:rFonts w:hint="default"/>
        <w:lang w:val="en-US" w:eastAsia="en-US" w:bidi="ar-SA"/>
      </w:rPr>
    </w:lvl>
    <w:lvl w:ilvl="3" w:tplc="3BBAA72C">
      <w:numFmt w:val="bullet"/>
      <w:lvlText w:val="•"/>
      <w:lvlJc w:val="left"/>
      <w:pPr>
        <w:ind w:left="4696" w:hanging="369"/>
      </w:pPr>
      <w:rPr>
        <w:rFonts w:hint="default"/>
        <w:lang w:val="en-US" w:eastAsia="en-US" w:bidi="ar-SA"/>
      </w:rPr>
    </w:lvl>
    <w:lvl w:ilvl="4" w:tplc="B5806960">
      <w:numFmt w:val="bullet"/>
      <w:lvlText w:val="•"/>
      <w:lvlJc w:val="left"/>
      <w:pPr>
        <w:ind w:left="5568" w:hanging="369"/>
      </w:pPr>
      <w:rPr>
        <w:rFonts w:hint="default"/>
        <w:lang w:val="en-US" w:eastAsia="en-US" w:bidi="ar-SA"/>
      </w:rPr>
    </w:lvl>
    <w:lvl w:ilvl="5" w:tplc="F4EE0A38">
      <w:numFmt w:val="bullet"/>
      <w:lvlText w:val="•"/>
      <w:lvlJc w:val="left"/>
      <w:pPr>
        <w:ind w:left="6440" w:hanging="369"/>
      </w:pPr>
      <w:rPr>
        <w:rFonts w:hint="default"/>
        <w:lang w:val="en-US" w:eastAsia="en-US" w:bidi="ar-SA"/>
      </w:rPr>
    </w:lvl>
    <w:lvl w:ilvl="6" w:tplc="5F5CB27A">
      <w:numFmt w:val="bullet"/>
      <w:lvlText w:val="•"/>
      <w:lvlJc w:val="left"/>
      <w:pPr>
        <w:ind w:left="7312" w:hanging="369"/>
      </w:pPr>
      <w:rPr>
        <w:rFonts w:hint="default"/>
        <w:lang w:val="en-US" w:eastAsia="en-US" w:bidi="ar-SA"/>
      </w:rPr>
    </w:lvl>
    <w:lvl w:ilvl="7" w:tplc="79D0B660">
      <w:numFmt w:val="bullet"/>
      <w:lvlText w:val="•"/>
      <w:lvlJc w:val="left"/>
      <w:pPr>
        <w:ind w:left="8184" w:hanging="369"/>
      </w:pPr>
      <w:rPr>
        <w:rFonts w:hint="default"/>
        <w:lang w:val="en-US" w:eastAsia="en-US" w:bidi="ar-SA"/>
      </w:rPr>
    </w:lvl>
    <w:lvl w:ilvl="8" w:tplc="F39E9A1E">
      <w:numFmt w:val="bullet"/>
      <w:lvlText w:val="•"/>
      <w:lvlJc w:val="left"/>
      <w:pPr>
        <w:ind w:left="9056" w:hanging="369"/>
      </w:pPr>
      <w:rPr>
        <w:rFonts w:hint="default"/>
        <w:lang w:val="en-US" w:eastAsia="en-US" w:bidi="ar-SA"/>
      </w:rPr>
    </w:lvl>
  </w:abstractNum>
  <w:abstractNum w:abstractNumId="2" w15:restartNumberingAfterBreak="0">
    <w:nsid w:val="180B0D85"/>
    <w:multiLevelType w:val="hybridMultilevel"/>
    <w:tmpl w:val="170A20BC"/>
    <w:lvl w:ilvl="0" w:tplc="9E525C8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B9C7176"/>
    <w:multiLevelType w:val="hybridMultilevel"/>
    <w:tmpl w:val="4D182668"/>
    <w:lvl w:ilvl="0" w:tplc="ED5EDE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31C61"/>
    <w:multiLevelType w:val="hybridMultilevel"/>
    <w:tmpl w:val="7CE867F6"/>
    <w:lvl w:ilvl="0" w:tplc="67B87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D48DF"/>
    <w:multiLevelType w:val="hybridMultilevel"/>
    <w:tmpl w:val="3E0EECEE"/>
    <w:lvl w:ilvl="0" w:tplc="7A2EB68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7" w15:restartNumberingAfterBreak="0">
    <w:nsid w:val="65D0243B"/>
    <w:multiLevelType w:val="hybridMultilevel"/>
    <w:tmpl w:val="7F9CF908"/>
    <w:lvl w:ilvl="0" w:tplc="7A2EB68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11727"/>
    <w:multiLevelType w:val="hybridMultilevel"/>
    <w:tmpl w:val="00D2D5A0"/>
    <w:lvl w:ilvl="0" w:tplc="02D4C5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ED4B6A"/>
    <w:multiLevelType w:val="hybridMultilevel"/>
    <w:tmpl w:val="B1302FB6"/>
    <w:lvl w:ilvl="0" w:tplc="C9181E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215C2"/>
    <w:multiLevelType w:val="hybridMultilevel"/>
    <w:tmpl w:val="BA944AFC"/>
    <w:lvl w:ilvl="0" w:tplc="10DC16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1746338">
    <w:abstractNumId w:val="6"/>
  </w:num>
  <w:num w:numId="2" w16cid:durableId="944001478">
    <w:abstractNumId w:val="6"/>
  </w:num>
  <w:num w:numId="3" w16cid:durableId="1785617930">
    <w:abstractNumId w:val="0"/>
  </w:num>
  <w:num w:numId="4" w16cid:durableId="603415041">
    <w:abstractNumId w:val="10"/>
  </w:num>
  <w:num w:numId="5" w16cid:durableId="120848875">
    <w:abstractNumId w:val="4"/>
  </w:num>
  <w:num w:numId="6" w16cid:durableId="813108036">
    <w:abstractNumId w:val="9"/>
  </w:num>
  <w:num w:numId="7" w16cid:durableId="1170751538">
    <w:abstractNumId w:val="3"/>
  </w:num>
  <w:num w:numId="8" w16cid:durableId="1571848005">
    <w:abstractNumId w:val="2"/>
  </w:num>
  <w:num w:numId="9" w16cid:durableId="783235700">
    <w:abstractNumId w:val="7"/>
  </w:num>
  <w:num w:numId="10" w16cid:durableId="916864164">
    <w:abstractNumId w:val="5"/>
  </w:num>
  <w:num w:numId="11" w16cid:durableId="929392002">
    <w:abstractNumId w:val="8"/>
  </w:num>
  <w:num w:numId="12" w16cid:durableId="53812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8A"/>
    <w:rsid w:val="0000526A"/>
    <w:rsid w:val="00055C6F"/>
    <w:rsid w:val="000573A9"/>
    <w:rsid w:val="00083E99"/>
    <w:rsid w:val="00085D22"/>
    <w:rsid w:val="00093AB0"/>
    <w:rsid w:val="000B1DA2"/>
    <w:rsid w:val="000C5C77"/>
    <w:rsid w:val="000E3912"/>
    <w:rsid w:val="000F621E"/>
    <w:rsid w:val="0010070F"/>
    <w:rsid w:val="0015112E"/>
    <w:rsid w:val="001552E7"/>
    <w:rsid w:val="001566B4"/>
    <w:rsid w:val="001A66B7"/>
    <w:rsid w:val="001C279E"/>
    <w:rsid w:val="001C439E"/>
    <w:rsid w:val="001D459E"/>
    <w:rsid w:val="001E4FE6"/>
    <w:rsid w:val="0022348D"/>
    <w:rsid w:val="002668D0"/>
    <w:rsid w:val="0027011C"/>
    <w:rsid w:val="00272AD1"/>
    <w:rsid w:val="00274200"/>
    <w:rsid w:val="00275740"/>
    <w:rsid w:val="002A0269"/>
    <w:rsid w:val="002B0FC7"/>
    <w:rsid w:val="00303684"/>
    <w:rsid w:val="003143F5"/>
    <w:rsid w:val="00314854"/>
    <w:rsid w:val="00394191"/>
    <w:rsid w:val="003A5033"/>
    <w:rsid w:val="003C51CD"/>
    <w:rsid w:val="003C6034"/>
    <w:rsid w:val="00400B5C"/>
    <w:rsid w:val="004368E0"/>
    <w:rsid w:val="00453106"/>
    <w:rsid w:val="0045620F"/>
    <w:rsid w:val="004949E5"/>
    <w:rsid w:val="004C13DD"/>
    <w:rsid w:val="004D3ABE"/>
    <w:rsid w:val="004E3441"/>
    <w:rsid w:val="00500579"/>
    <w:rsid w:val="005A5366"/>
    <w:rsid w:val="005B5BF2"/>
    <w:rsid w:val="006369EB"/>
    <w:rsid w:val="00637E73"/>
    <w:rsid w:val="0067475D"/>
    <w:rsid w:val="006865E9"/>
    <w:rsid w:val="00686E9A"/>
    <w:rsid w:val="00691F3E"/>
    <w:rsid w:val="00694BFB"/>
    <w:rsid w:val="006A0430"/>
    <w:rsid w:val="006A106B"/>
    <w:rsid w:val="006C523D"/>
    <w:rsid w:val="006D4036"/>
    <w:rsid w:val="007A5259"/>
    <w:rsid w:val="007A7081"/>
    <w:rsid w:val="007D4458"/>
    <w:rsid w:val="007F1CF5"/>
    <w:rsid w:val="00834EDE"/>
    <w:rsid w:val="008736AA"/>
    <w:rsid w:val="00886508"/>
    <w:rsid w:val="0089381D"/>
    <w:rsid w:val="008B5F8D"/>
    <w:rsid w:val="008D275D"/>
    <w:rsid w:val="008D5306"/>
    <w:rsid w:val="008E50E4"/>
    <w:rsid w:val="0092238A"/>
    <w:rsid w:val="009251F5"/>
    <w:rsid w:val="00933EB6"/>
    <w:rsid w:val="00980327"/>
    <w:rsid w:val="00984202"/>
    <w:rsid w:val="00986478"/>
    <w:rsid w:val="009B5557"/>
    <w:rsid w:val="009C63D7"/>
    <w:rsid w:val="009F1067"/>
    <w:rsid w:val="00A31E01"/>
    <w:rsid w:val="00A527AD"/>
    <w:rsid w:val="00A718CF"/>
    <w:rsid w:val="00AB25AD"/>
    <w:rsid w:val="00AB336E"/>
    <w:rsid w:val="00AE48A0"/>
    <w:rsid w:val="00AE61BE"/>
    <w:rsid w:val="00AF7326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960"/>
    <w:rsid w:val="00BD7FF7"/>
    <w:rsid w:val="00BE5DFB"/>
    <w:rsid w:val="00C33014"/>
    <w:rsid w:val="00C33434"/>
    <w:rsid w:val="00C34869"/>
    <w:rsid w:val="00C41E59"/>
    <w:rsid w:val="00C42EB6"/>
    <w:rsid w:val="00C64FBC"/>
    <w:rsid w:val="00C85096"/>
    <w:rsid w:val="00CB20EF"/>
    <w:rsid w:val="00CC1F3B"/>
    <w:rsid w:val="00CD12CB"/>
    <w:rsid w:val="00CD36CF"/>
    <w:rsid w:val="00CF1DCA"/>
    <w:rsid w:val="00D579FC"/>
    <w:rsid w:val="00D600FA"/>
    <w:rsid w:val="00D765A9"/>
    <w:rsid w:val="00D81C16"/>
    <w:rsid w:val="00DC118F"/>
    <w:rsid w:val="00DE526B"/>
    <w:rsid w:val="00DF199D"/>
    <w:rsid w:val="00E01542"/>
    <w:rsid w:val="00E365F1"/>
    <w:rsid w:val="00E472CB"/>
    <w:rsid w:val="00E62F48"/>
    <w:rsid w:val="00E831B3"/>
    <w:rsid w:val="00E95FBC"/>
    <w:rsid w:val="00EC5E63"/>
    <w:rsid w:val="00EE70CB"/>
    <w:rsid w:val="00F41CA2"/>
    <w:rsid w:val="00F443C0"/>
    <w:rsid w:val="00F62EFB"/>
    <w:rsid w:val="00F6452E"/>
    <w:rsid w:val="00F75506"/>
    <w:rsid w:val="00F939A4"/>
    <w:rsid w:val="00FA7B09"/>
    <w:rsid w:val="00FC688E"/>
    <w:rsid w:val="00FD5B51"/>
    <w:rsid w:val="00FE0505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BD10D"/>
  <w15:chartTrackingRefBased/>
  <w15:docId w15:val="{E6D2D528-AD18-49EE-AE5A-2897D6BA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2">
    <w:name w:val="heading 2"/>
    <w:basedOn w:val="Normal"/>
    <w:link w:val="Heading2Char"/>
    <w:uiPriority w:val="9"/>
    <w:unhideWhenUsed/>
    <w:qFormat/>
    <w:locked/>
    <w:rsid w:val="00D600FA"/>
    <w:pPr>
      <w:widowControl w:val="0"/>
      <w:autoSpaceDE w:val="0"/>
      <w:autoSpaceDN w:val="0"/>
      <w:spacing w:line="240" w:lineRule="auto"/>
      <w:ind w:left="2003" w:hanging="371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8938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1E4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FE6"/>
    <w:rPr>
      <w:color w:val="605E5C"/>
      <w:shd w:val="clear" w:color="auto" w:fill="E1DFDD"/>
    </w:rPr>
  </w:style>
  <w:style w:type="character" w:customStyle="1" w:styleId="SectionBodyChar">
    <w:name w:val="Section Body Char"/>
    <w:link w:val="SectionBody"/>
    <w:rsid w:val="0045310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53106"/>
    <w:rPr>
      <w:rFonts w:eastAsia="Calibri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D600FA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D600F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600FA"/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8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33CD9ED1E34E7EBF23B11AC60FB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C3813-B885-46CE-B087-94C202290851}"/>
      </w:docPartPr>
      <w:docPartBody>
        <w:p w:rsidR="00297A77" w:rsidRDefault="00297A77">
          <w:pPr>
            <w:pStyle w:val="2F33CD9ED1E34E7EBF23B11AC60FB0BC"/>
          </w:pPr>
          <w:r w:rsidRPr="00B844FE">
            <w:t>Prefix Text</w:t>
          </w:r>
        </w:p>
      </w:docPartBody>
    </w:docPart>
    <w:docPart>
      <w:docPartPr>
        <w:name w:val="89CAD41848FF4593A0CD358ED369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5A35-4E71-4EAE-B429-8BE5570F794E}"/>
      </w:docPartPr>
      <w:docPartBody>
        <w:p w:rsidR="00297A77" w:rsidRDefault="00297A77">
          <w:pPr>
            <w:pStyle w:val="89CAD41848FF4593A0CD358ED36991AD"/>
          </w:pPr>
          <w:r w:rsidRPr="00B844FE">
            <w:t>[Type here]</w:t>
          </w:r>
        </w:p>
      </w:docPartBody>
    </w:docPart>
    <w:docPart>
      <w:docPartPr>
        <w:name w:val="A2D992A0C7584832845EC87744220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BB167-B2C4-4F46-8E07-7E7FFECBB420}"/>
      </w:docPartPr>
      <w:docPartBody>
        <w:p w:rsidR="00297A77" w:rsidRDefault="00297A77">
          <w:pPr>
            <w:pStyle w:val="A2D992A0C7584832845EC87744220BFA"/>
          </w:pPr>
          <w:r w:rsidRPr="00B844FE">
            <w:t>Number</w:t>
          </w:r>
        </w:p>
      </w:docPartBody>
    </w:docPart>
    <w:docPart>
      <w:docPartPr>
        <w:name w:val="055700C9F432495CB5621AC810D49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E6A3-31FF-4493-9B0F-AE156C17DA29}"/>
      </w:docPartPr>
      <w:docPartBody>
        <w:p w:rsidR="00297A77" w:rsidRDefault="00297A77">
          <w:pPr>
            <w:pStyle w:val="055700C9F432495CB5621AC810D49698"/>
          </w:pPr>
          <w:r w:rsidRPr="00B844FE">
            <w:t>Enter Sponsors Here</w:t>
          </w:r>
        </w:p>
      </w:docPartBody>
    </w:docPart>
    <w:docPart>
      <w:docPartPr>
        <w:name w:val="AA22BB3BF17946C99E386F0D87478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B5F81-47E6-49CB-90B6-B20524BC52EF}"/>
      </w:docPartPr>
      <w:docPartBody>
        <w:p w:rsidR="00297A77" w:rsidRDefault="00297A77">
          <w:pPr>
            <w:pStyle w:val="AA22BB3BF17946C99E386F0D87478AF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77"/>
    <w:rsid w:val="000F621E"/>
    <w:rsid w:val="001C439E"/>
    <w:rsid w:val="00272AD1"/>
    <w:rsid w:val="00297A77"/>
    <w:rsid w:val="003A5033"/>
    <w:rsid w:val="00886508"/>
    <w:rsid w:val="008D5306"/>
    <w:rsid w:val="00995E83"/>
    <w:rsid w:val="00AB336E"/>
    <w:rsid w:val="00AF7326"/>
    <w:rsid w:val="00BC6960"/>
    <w:rsid w:val="00BE5DFB"/>
    <w:rsid w:val="00F6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33CD9ED1E34E7EBF23B11AC60FB0BC">
    <w:name w:val="2F33CD9ED1E34E7EBF23B11AC60FB0BC"/>
  </w:style>
  <w:style w:type="paragraph" w:customStyle="1" w:styleId="89CAD41848FF4593A0CD358ED36991AD">
    <w:name w:val="89CAD41848FF4593A0CD358ED36991AD"/>
  </w:style>
  <w:style w:type="paragraph" w:customStyle="1" w:styleId="A2D992A0C7584832845EC87744220BFA">
    <w:name w:val="A2D992A0C7584832845EC87744220BFA"/>
  </w:style>
  <w:style w:type="paragraph" w:customStyle="1" w:styleId="055700C9F432495CB5621AC810D49698">
    <w:name w:val="055700C9F432495CB5621AC810D4969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A22BB3BF17946C99E386F0D87478AFA">
    <w:name w:val="AA22BB3BF17946C99E386F0D87478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2</Pages>
  <Words>546</Words>
  <Characters>3017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Sam Rowe</cp:lastModifiedBy>
  <cp:revision>2</cp:revision>
  <dcterms:created xsi:type="dcterms:W3CDTF">2026-01-19T18:34:00Z</dcterms:created>
  <dcterms:modified xsi:type="dcterms:W3CDTF">2026-01-19T18:34:00Z</dcterms:modified>
</cp:coreProperties>
</file>