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50331" w14:textId="77777777" w:rsidR="00FE067E" w:rsidRDefault="003C6034" w:rsidP="00CC1F3B">
      <w:pPr>
        <w:pStyle w:val="TitlePageOrigin"/>
      </w:pPr>
      <w:r>
        <w:rPr>
          <w:caps w:val="0"/>
        </w:rPr>
        <w:t>WEST VIRGINIA LEGISLATURE</w:t>
      </w:r>
    </w:p>
    <w:p w14:paraId="78584989"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6E0A0BB2" w14:textId="7994B44E" w:rsidR="00CD36CF" w:rsidRDefault="004C3188" w:rsidP="004C3188">
      <w:pPr>
        <w:pStyle w:val="TitlePageBillPrefix"/>
        <w:tabs>
          <w:tab w:val="center" w:pos="4680"/>
          <w:tab w:val="left" w:pos="8550"/>
        </w:tabs>
        <w:jc w:val="left"/>
      </w:pPr>
      <w:r>
        <w:tab/>
      </w:r>
      <w:sdt>
        <w:sdtPr>
          <w:tag w:val="IntroDate"/>
          <w:id w:val="-1236936958"/>
          <w:placeholder>
            <w:docPart w:val="ACAE8CBFE7D14A52A995AF2E914F3C55"/>
          </w:placeholder>
          <w:text/>
        </w:sdtPr>
        <w:sdtEndPr/>
        <w:sdtContent>
          <w:r w:rsidR="00AE48A0">
            <w:t>Introduced</w:t>
          </w:r>
        </w:sdtContent>
      </w:sdt>
      <w:r>
        <w:tab/>
      </w:r>
      <w:r>
        <w:rPr>
          <w:noProof/>
        </w:rPr>
        <mc:AlternateContent>
          <mc:Choice Requires="wps">
            <w:drawing>
              <wp:anchor distT="0" distB="0" distL="114300" distR="114300" simplePos="0" relativeHeight="251659264" behindDoc="0" locked="0" layoutInCell="1" allowOverlap="1" wp14:anchorId="58D60CE5" wp14:editId="1989C08E">
                <wp:simplePos x="0" y="0"/>
                <wp:positionH relativeFrom="column">
                  <wp:posOffset>6007100</wp:posOffset>
                </wp:positionH>
                <wp:positionV relativeFrom="paragraph">
                  <wp:posOffset>482600</wp:posOffset>
                </wp:positionV>
                <wp:extent cx="635000" cy="476250"/>
                <wp:effectExtent l="0" t="0" r="12700" b="19050"/>
                <wp:wrapNone/>
                <wp:docPr id="1423246553"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6ED519ED" w14:textId="0283F0BE" w:rsidR="004C3188" w:rsidRPr="004C3188" w:rsidRDefault="004C3188" w:rsidP="004C3188">
                            <w:pPr>
                              <w:spacing w:line="240" w:lineRule="auto"/>
                              <w:jc w:val="center"/>
                              <w:rPr>
                                <w:rFonts w:cs="Arial"/>
                                <w:b/>
                              </w:rPr>
                            </w:pPr>
                            <w:r w:rsidRPr="004C3188">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8D60CE5" id="_x0000_t202" coordsize="21600,21600" o:spt="202" path="m,l,21600r21600,l21600,xe">
                <v:stroke joinstyle="miter"/>
                <v:path gradientshapeok="t" o:connecttype="rect"/>
              </v:shapetype>
              <v:shape id="Fiscal" o:spid="_x0000_s1026" type="#_x0000_t202" style="position:absolute;margin-left:473pt;margin-top:3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" filled="f" strokeweight=".5pt">
                <v:fill o:detectmouseclick="t"/>
                <v:textbox inset="0,5pt,0,0">
                  <w:txbxContent>
                    <w:p w14:paraId="6ED519ED" w14:textId="0283F0BE" w:rsidR="004C3188" w:rsidRPr="004C3188" w:rsidRDefault="004C3188" w:rsidP="004C3188">
                      <w:pPr>
                        <w:spacing w:line="240" w:lineRule="auto"/>
                        <w:jc w:val="center"/>
                        <w:rPr>
                          <w:rFonts w:cs="Arial"/>
                          <w:b/>
                        </w:rPr>
                      </w:pPr>
                      <w:r w:rsidRPr="004C3188">
                        <w:rPr>
                          <w:rFonts w:cs="Arial"/>
                          <w:b/>
                        </w:rPr>
                        <w:t>FISCAL NOTE</w:t>
                      </w:r>
                    </w:p>
                  </w:txbxContent>
                </v:textbox>
              </v:shape>
            </w:pict>
          </mc:Fallback>
        </mc:AlternateContent>
      </w:r>
    </w:p>
    <w:p w14:paraId="126FA07B" w14:textId="720B86FE" w:rsidR="00CD36CF" w:rsidRDefault="0033236E" w:rsidP="00CC1F3B">
      <w:pPr>
        <w:pStyle w:val="BillNumber"/>
      </w:pPr>
      <w:sdt>
        <w:sdtPr>
          <w:tag w:val="Chamber"/>
          <w:id w:val="893011969"/>
          <w:lock w:val="sdtLocked"/>
          <w:placeholder>
            <w:docPart w:val="061F94699F064A95AE18CE9B214B9BBA"/>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FCA55153DD284DA6B52F81DE8B241B68"/>
          </w:placeholder>
          <w:text/>
        </w:sdtPr>
        <w:sdtEndPr/>
        <w:sdtContent>
          <w:r>
            <w:t>4666</w:t>
          </w:r>
        </w:sdtContent>
      </w:sdt>
    </w:p>
    <w:p w14:paraId="5F6C490D" w14:textId="7B09E292" w:rsidR="00CD36CF" w:rsidRDefault="00CD36CF" w:rsidP="00CC1F3B">
      <w:pPr>
        <w:pStyle w:val="Sponsors"/>
      </w:pPr>
      <w:r>
        <w:t xml:space="preserve">By </w:t>
      </w:r>
      <w:sdt>
        <w:sdtPr>
          <w:tag w:val="Sponsors"/>
          <w:id w:val="1589585889"/>
          <w:placeholder>
            <w:docPart w:val="BF6435D758DB421BB13BD2B72FD04141"/>
          </w:placeholder>
          <w:text w:multiLine="1"/>
        </w:sdtPr>
        <w:sdtEndPr/>
        <w:sdtContent>
          <w:r w:rsidR="00812A33">
            <w:t>Delegate</w:t>
          </w:r>
          <w:r w:rsidR="00B757B8">
            <w:t>s</w:t>
          </w:r>
          <w:r w:rsidR="00812A33">
            <w:t xml:space="preserve"> Crouse</w:t>
          </w:r>
          <w:r w:rsidR="00B757B8">
            <w:t>, White, and T. Howell</w:t>
          </w:r>
        </w:sdtContent>
      </w:sdt>
    </w:p>
    <w:p w14:paraId="583B64AB" w14:textId="142F0C4D" w:rsidR="00E831B3" w:rsidRDefault="00CD36CF" w:rsidP="00CC1F3B">
      <w:pPr>
        <w:pStyle w:val="References"/>
      </w:pPr>
      <w:r>
        <w:t>[</w:t>
      </w:r>
      <w:sdt>
        <w:sdtPr>
          <w:tag w:val="References"/>
          <w:id w:val="-1043047873"/>
          <w:placeholder>
            <w:docPart w:val="7EA21111DB6549BC81A627718D091997"/>
          </w:placeholder>
          <w:text w:multiLine="1"/>
        </w:sdtPr>
        <w:sdtEndPr/>
        <w:sdtContent>
          <w:r w:rsidR="0033236E">
            <w:t>Introduced January 21, 2026; referred to the Committee on Health and Human Resources then the Judiciary</w:t>
          </w:r>
        </w:sdtContent>
      </w:sdt>
      <w:r>
        <w:t>]</w:t>
      </w:r>
    </w:p>
    <w:p w14:paraId="7991D201" w14:textId="5B1DEBD0" w:rsidR="00303684" w:rsidRDefault="0000526A" w:rsidP="00CC1F3B">
      <w:pPr>
        <w:pStyle w:val="TitleSection"/>
      </w:pPr>
      <w:r>
        <w:lastRenderedPageBreak/>
        <w:t>A BILL</w:t>
      </w:r>
      <w:r w:rsidR="000435F2">
        <w:t xml:space="preserve"> to amend the Code of West Virginia, 1931, as amended, by adding a new section, designated </w:t>
      </w:r>
      <w:r w:rsidR="000435F2" w:rsidRPr="000435F2">
        <w:t>§61-12-17</w:t>
      </w:r>
      <w:r w:rsidR="000435F2">
        <w:t xml:space="preserve">, relating to </w:t>
      </w:r>
      <w:r w:rsidR="000A60F0">
        <w:t>creating autopsy requirements for certain cases; requiring medical examiners to check immunization records</w:t>
      </w:r>
      <w:r w:rsidR="007A0182">
        <w:t xml:space="preserve">; creating reporting requirements; and adding penalties for failure to follow this section. </w:t>
      </w:r>
    </w:p>
    <w:p w14:paraId="7DDDD40B" w14:textId="11302442" w:rsidR="00812A33" w:rsidRDefault="00303684" w:rsidP="00812A33">
      <w:pPr>
        <w:pStyle w:val="EnactingClause"/>
      </w:pPr>
      <w:r>
        <w:t>Be it enacted by the Legislature of West Virginia:</w:t>
      </w:r>
    </w:p>
    <w:p w14:paraId="426B68FA" w14:textId="77777777" w:rsidR="00812A33" w:rsidRDefault="00812A33" w:rsidP="00812A33">
      <w:pPr>
        <w:pStyle w:val="SectionBody"/>
        <w:sectPr w:rsidR="00812A33" w:rsidSect="00BC6826">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545FD8D1" w14:textId="77777777" w:rsidR="00812A33" w:rsidRDefault="00812A33" w:rsidP="00081C38">
      <w:pPr>
        <w:pStyle w:val="ArticleHeading"/>
        <w:sectPr w:rsidR="00812A33" w:rsidSect="00812A33">
          <w:type w:val="continuous"/>
          <w:pgSz w:w="12240" w:h="15840" w:code="1"/>
          <w:pgMar w:top="1440" w:right="1440" w:bottom="1440" w:left="1440" w:header="720" w:footer="720" w:gutter="0"/>
          <w:lnNumType w:countBy="1" w:restart="newSection"/>
          <w:cols w:space="720"/>
          <w:titlePg/>
          <w:docGrid w:linePitch="360"/>
        </w:sectPr>
      </w:pPr>
      <w:r>
        <w:t>ARTICLE 12. POSTMORTEM EXAMINATIONS.</w:t>
      </w:r>
    </w:p>
    <w:p w14:paraId="26E5DD3E" w14:textId="10ECE95C" w:rsidR="00812A33" w:rsidRPr="004C3188" w:rsidRDefault="00812A33" w:rsidP="008E0769">
      <w:pPr>
        <w:pStyle w:val="SectionHeading"/>
        <w:rPr>
          <w:u w:val="single"/>
        </w:rPr>
      </w:pPr>
      <w:bookmarkStart w:id="0" w:name="_Hlk218934199"/>
      <w:r w:rsidRPr="004C3188">
        <w:rPr>
          <w:u w:val="single"/>
        </w:rPr>
        <w:t>§61-12-17</w:t>
      </w:r>
      <w:bookmarkEnd w:id="0"/>
      <w:r w:rsidRPr="004C3188">
        <w:rPr>
          <w:u w:val="single"/>
        </w:rPr>
        <w:t xml:space="preserve">. </w:t>
      </w:r>
      <w:r w:rsidR="000A60F0">
        <w:rPr>
          <w:u w:val="single"/>
        </w:rPr>
        <w:t xml:space="preserve">Requiring medical </w:t>
      </w:r>
      <w:r w:rsidR="00CD3DA3">
        <w:rPr>
          <w:u w:val="single"/>
        </w:rPr>
        <w:t>examiners</w:t>
      </w:r>
      <w:r w:rsidR="000A60F0">
        <w:rPr>
          <w:u w:val="single"/>
        </w:rPr>
        <w:t xml:space="preserve"> to check immunization status in unexpected deaths of persons under 20 years old; reporting requirements; penalties. </w:t>
      </w:r>
    </w:p>
    <w:p w14:paraId="7CA72BF4" w14:textId="469E214C" w:rsidR="00812A33" w:rsidRPr="004C3188" w:rsidRDefault="00812A33" w:rsidP="00812A33">
      <w:pPr>
        <w:pStyle w:val="SectionBody"/>
        <w:rPr>
          <w:u w:val="single"/>
        </w:rPr>
      </w:pPr>
      <w:r w:rsidRPr="004C3188">
        <w:rPr>
          <w:u w:val="single"/>
        </w:rPr>
        <w:t xml:space="preserve">(a) </w:t>
      </w:r>
      <w:r w:rsidRPr="004C3188">
        <w:rPr>
          <w:i/>
          <w:iCs/>
          <w:u w:val="single"/>
        </w:rPr>
        <w:t>Definitions.</w:t>
      </w:r>
      <w:r w:rsidRPr="004C3188">
        <w:rPr>
          <w:u w:val="single"/>
        </w:rPr>
        <w:t xml:space="preserve"> – The following words and terms when used in this section have the meanings indicated: </w:t>
      </w:r>
    </w:p>
    <w:p w14:paraId="5FAF1B1E" w14:textId="7F3369D7" w:rsidR="00812A33" w:rsidRPr="004C3188" w:rsidRDefault="00485A57" w:rsidP="00812A33">
      <w:pPr>
        <w:pStyle w:val="SectionBody"/>
        <w:rPr>
          <w:u w:val="single"/>
        </w:rPr>
      </w:pPr>
      <w:r>
        <w:rPr>
          <w:u w:val="single"/>
        </w:rPr>
        <w:t>"</w:t>
      </w:r>
      <w:r w:rsidR="00812A33" w:rsidRPr="004C3188">
        <w:rPr>
          <w:u w:val="single"/>
        </w:rPr>
        <w:t>Sudden Arrhythmic Death Syndrome</w:t>
      </w:r>
      <w:r w:rsidR="00033D60">
        <w:rPr>
          <w:u w:val="single"/>
        </w:rPr>
        <w:t xml:space="preserve"> </w:t>
      </w:r>
      <w:r w:rsidR="00812A33" w:rsidRPr="004C3188">
        <w:rPr>
          <w:u w:val="single"/>
        </w:rPr>
        <w:t>(SADS)</w:t>
      </w:r>
      <w:r>
        <w:rPr>
          <w:u w:val="single"/>
        </w:rPr>
        <w:t>"</w:t>
      </w:r>
      <w:r w:rsidR="00812A33" w:rsidRPr="004C3188">
        <w:rPr>
          <w:u w:val="single"/>
        </w:rPr>
        <w:t xml:space="preserve"> means the sudden and unexpected death due to cardiac arrhythmia, as determined by performance of an autopsy or a clinical investigation, of a young, apparently healthy individual with no previously diagnosed structural heart disease.</w:t>
      </w:r>
    </w:p>
    <w:p w14:paraId="3B5F6809" w14:textId="0ABDF2B6" w:rsidR="00812A33" w:rsidRPr="004C3188" w:rsidRDefault="00485A57" w:rsidP="00812A33">
      <w:pPr>
        <w:pStyle w:val="SectionBody"/>
        <w:rPr>
          <w:u w:val="single"/>
        </w:rPr>
      </w:pPr>
      <w:r>
        <w:rPr>
          <w:u w:val="single"/>
        </w:rPr>
        <w:t>"</w:t>
      </w:r>
      <w:r w:rsidR="00812A33" w:rsidRPr="004C3188">
        <w:rPr>
          <w:u w:val="single"/>
        </w:rPr>
        <w:t>Sudden Death in the Young (SDY)</w:t>
      </w:r>
      <w:r>
        <w:rPr>
          <w:u w:val="single"/>
        </w:rPr>
        <w:t>"</w:t>
      </w:r>
      <w:r w:rsidR="00812A33" w:rsidRPr="004C3188">
        <w:rPr>
          <w:u w:val="single"/>
        </w:rPr>
        <w:t xml:space="preserve"> means the sudden and unexpected death of an individual younger than 20 years of age due to natural causes, including, but not limited to, sudden cardiac death or sudden unexpected death in epilepsy, which death remains unexplained after initial investigation.</w:t>
      </w:r>
    </w:p>
    <w:p w14:paraId="198C1264" w14:textId="431CF405" w:rsidR="00812A33" w:rsidRPr="004C3188" w:rsidRDefault="00485A57" w:rsidP="00812A33">
      <w:pPr>
        <w:pStyle w:val="SectionBody"/>
        <w:rPr>
          <w:u w:val="single"/>
        </w:rPr>
      </w:pPr>
      <w:r>
        <w:rPr>
          <w:u w:val="single"/>
        </w:rPr>
        <w:t>"</w:t>
      </w:r>
      <w:r w:rsidR="00812A33" w:rsidRPr="004C3188">
        <w:rPr>
          <w:u w:val="single"/>
        </w:rPr>
        <w:t>Sudden Infant Death Syndrome (SIDS)</w:t>
      </w:r>
      <w:r>
        <w:rPr>
          <w:u w:val="single"/>
        </w:rPr>
        <w:t>"</w:t>
      </w:r>
      <w:r w:rsidR="00812A33" w:rsidRPr="004C3188">
        <w:rPr>
          <w:u w:val="single"/>
        </w:rPr>
        <w:t xml:space="preserve"> means the sudden death of an infant younger than 1 year of age which remains unexplained after a thorough case investigation, including performance of an autopsy, scene investigations, and a review of clinical history.</w:t>
      </w:r>
    </w:p>
    <w:p w14:paraId="687747E9" w14:textId="442BA490" w:rsidR="00812A33" w:rsidRPr="004C3188" w:rsidRDefault="00485A57" w:rsidP="00812A33">
      <w:pPr>
        <w:pStyle w:val="SectionBody"/>
        <w:rPr>
          <w:u w:val="single"/>
        </w:rPr>
      </w:pPr>
      <w:r>
        <w:rPr>
          <w:u w:val="single"/>
        </w:rPr>
        <w:t>"</w:t>
      </w:r>
      <w:r w:rsidR="00812A33" w:rsidRPr="004C3188">
        <w:rPr>
          <w:u w:val="single"/>
        </w:rPr>
        <w:t>Sudden Unexpected Infant Death (SUID)</w:t>
      </w:r>
      <w:r>
        <w:rPr>
          <w:u w:val="single"/>
        </w:rPr>
        <w:t>"</w:t>
      </w:r>
      <w:r w:rsidR="00812A33" w:rsidRPr="004C3188">
        <w:rPr>
          <w:u w:val="single"/>
        </w:rPr>
        <w:t xml:space="preserve"> means the sudden and unexpected death of an infant younger than 1 year of age, whether explained or unexplained, including, but not limited to, death caused by SIDS, accidental suffocation, and other potential causes.</w:t>
      </w:r>
    </w:p>
    <w:p w14:paraId="3A4E7657" w14:textId="5FCCFA58" w:rsidR="00812A33" w:rsidRPr="004C3188" w:rsidRDefault="00485A57" w:rsidP="00812A33">
      <w:pPr>
        <w:pStyle w:val="SectionBody"/>
        <w:rPr>
          <w:u w:val="single"/>
        </w:rPr>
      </w:pPr>
      <w:r>
        <w:rPr>
          <w:u w:val="single"/>
        </w:rPr>
        <w:t>"</w:t>
      </w:r>
      <w:r w:rsidR="00812A33" w:rsidRPr="004C3188">
        <w:rPr>
          <w:u w:val="single"/>
        </w:rPr>
        <w:t>Sudden Unexpected Infant Death (SUID) and Sudden Death in the Young (SDY) Case Registry</w:t>
      </w:r>
      <w:r>
        <w:rPr>
          <w:u w:val="single"/>
        </w:rPr>
        <w:t>"</w:t>
      </w:r>
      <w:r w:rsidR="00812A33" w:rsidRPr="004C3188">
        <w:rPr>
          <w:u w:val="single"/>
        </w:rPr>
        <w:t xml:space="preserve"> means the national surveillance system coordinated by the Centers for Disease Control and Prevention and the National Institutes of Health which collects standardized data on sudden and unexpected deaths in individuals younger than 20 years of age.</w:t>
      </w:r>
    </w:p>
    <w:p w14:paraId="24488DAD" w14:textId="2678965F" w:rsidR="00812A33" w:rsidRPr="004C3188" w:rsidRDefault="00812A33" w:rsidP="00812A33">
      <w:pPr>
        <w:pStyle w:val="SectionBody"/>
        <w:rPr>
          <w:u w:val="single"/>
        </w:rPr>
      </w:pPr>
      <w:r w:rsidRPr="004C3188">
        <w:rPr>
          <w:u w:val="single"/>
        </w:rPr>
        <w:t xml:space="preserve">(b) In the case of an infant or child who dies suddenly and unexpectedly, including cases of SIDS, SUID, or SDY, the autopsy must include microscopic and toxicology studies and a review of the child’s immunization and medical records, as available through the </w:t>
      </w:r>
      <w:r w:rsidR="00033D60">
        <w:rPr>
          <w:u w:val="single"/>
        </w:rPr>
        <w:t>West Virginia Statewide Immunization Information System</w:t>
      </w:r>
      <w:r w:rsidRPr="004C3188">
        <w:rPr>
          <w:u w:val="single"/>
        </w:rPr>
        <w:t>, from the child’s pediatrician or primary care practitioner, or from other sources. The medical examiner shall document in the autopsy report any immunizations or emergency countermeasures administered to the child within 90 days before the child’s death and report the case to the SUID and SDY Case Registry in accordance with protocols established by the Department of Health and the Centers for Disease Control and Prevention.</w:t>
      </w:r>
    </w:p>
    <w:p w14:paraId="0528AA4D" w14:textId="1601FF65" w:rsidR="00812A33" w:rsidRPr="004C3188" w:rsidRDefault="00812A33" w:rsidP="00812A33">
      <w:pPr>
        <w:pStyle w:val="SectionBody"/>
        <w:rPr>
          <w:u w:val="single"/>
        </w:rPr>
      </w:pPr>
      <w:r w:rsidRPr="004C3188">
        <w:rPr>
          <w:u w:val="single"/>
        </w:rPr>
        <w:t>(c) In the case of a sudden death suspected to be caused by SADS in an individual of any age, the autopsy must include microscopic and toxicology studies and a review of the individual’s immunization and medical records, as available through state health databases or other sources. The medical examiner shall document in the autopsy report any immunizations or emergency countermeasures administered to the individual within 90 days before his or her death and report the case to the SUID and SDY Case Registry if the individual was younger than 20 years of age at the time of death, in accordance with protocols established by the Department of Health and the Centers for Disease Control and Prevention.</w:t>
      </w:r>
    </w:p>
    <w:p w14:paraId="192E14A5" w14:textId="0FD79B18" w:rsidR="00812A33" w:rsidRPr="004C3188" w:rsidRDefault="00812A33" w:rsidP="00812A33">
      <w:pPr>
        <w:pStyle w:val="SectionBody"/>
        <w:rPr>
          <w:u w:val="single"/>
        </w:rPr>
      </w:pPr>
      <w:r w:rsidRPr="004C3188">
        <w:rPr>
          <w:u w:val="single"/>
        </w:rPr>
        <w:t>(d) The Department of Health shall impose the following administrative penalties against a district medical examiner who fails to report a case of SIDS, SUID, SDY, or SADS, for individuals younger than 20 years of age, to the SUID and SDY Case Registry within 30 days after completing the autopsy report:</w:t>
      </w:r>
    </w:p>
    <w:p w14:paraId="17DABEAF" w14:textId="32CE50E6" w:rsidR="00812A33" w:rsidRPr="004C3188" w:rsidRDefault="00812A33" w:rsidP="00812A33">
      <w:pPr>
        <w:pStyle w:val="SectionBody"/>
        <w:rPr>
          <w:u w:val="single"/>
        </w:rPr>
      </w:pPr>
      <w:r w:rsidRPr="004C3188">
        <w:rPr>
          <w:u w:val="single"/>
        </w:rPr>
        <w:t>(1) For the first unreported case, a fine of up to $1,000.</w:t>
      </w:r>
    </w:p>
    <w:p w14:paraId="3DD1F0A7" w14:textId="76D4A4EC" w:rsidR="00812A33" w:rsidRPr="004C3188" w:rsidRDefault="00812A33" w:rsidP="00812A33">
      <w:pPr>
        <w:pStyle w:val="SectionBody"/>
        <w:rPr>
          <w:u w:val="single"/>
        </w:rPr>
      </w:pPr>
      <w:r w:rsidRPr="004C3188">
        <w:rPr>
          <w:u w:val="single"/>
        </w:rPr>
        <w:t>(2) For the second unreported case, a fine of up to $5,000.</w:t>
      </w:r>
    </w:p>
    <w:p w14:paraId="17561C5E" w14:textId="073AC45F" w:rsidR="00812A33" w:rsidRPr="004C3188" w:rsidRDefault="00812A33" w:rsidP="00812A33">
      <w:pPr>
        <w:pStyle w:val="SectionBody"/>
        <w:rPr>
          <w:u w:val="single"/>
        </w:rPr>
      </w:pPr>
      <w:r w:rsidRPr="004C3188">
        <w:rPr>
          <w:u w:val="single"/>
        </w:rPr>
        <w:t xml:space="preserve">(3) For repeated noncompliance, referral to the </w:t>
      </w:r>
      <w:r w:rsidR="00041C1F">
        <w:rPr>
          <w:u w:val="single"/>
        </w:rPr>
        <w:t xml:space="preserve">appropriate licensing board </w:t>
      </w:r>
      <w:r w:rsidRPr="004C3188">
        <w:rPr>
          <w:u w:val="single"/>
        </w:rPr>
        <w:t>for disciplinary action, which may include suspension or removal</w:t>
      </w:r>
      <w:r w:rsidR="00041C1F">
        <w:rPr>
          <w:u w:val="single"/>
        </w:rPr>
        <w:t>.</w:t>
      </w:r>
    </w:p>
    <w:p w14:paraId="6FB482EE" w14:textId="1C725337" w:rsidR="00812A33" w:rsidRPr="004C3188" w:rsidRDefault="00812A33" w:rsidP="00812A33">
      <w:pPr>
        <w:pStyle w:val="SectionBody"/>
        <w:rPr>
          <w:u w:val="single"/>
        </w:rPr>
      </w:pPr>
      <w:r w:rsidRPr="004C3188">
        <w:rPr>
          <w:u w:val="single"/>
        </w:rPr>
        <w:t>(e) Compliance with the reporting and documentation requirements of this section is deemed a permissible disclosure under state and federal medical privacy laws, including the Health Insurance Portability and Accountability Act of 1996.</w:t>
      </w:r>
    </w:p>
    <w:p w14:paraId="583D14EE" w14:textId="77777777" w:rsidR="00812A33" w:rsidRDefault="00812A33" w:rsidP="00CC1F3B">
      <w:pPr>
        <w:pStyle w:val="Note"/>
      </w:pPr>
    </w:p>
    <w:p w14:paraId="355E66B2" w14:textId="55106396" w:rsidR="006865E9" w:rsidRDefault="00CF1DCA" w:rsidP="00CC1F3B">
      <w:pPr>
        <w:pStyle w:val="Note"/>
      </w:pPr>
      <w:r>
        <w:t>NOTE: The</w:t>
      </w:r>
      <w:r w:rsidR="006865E9">
        <w:t xml:space="preserve"> purpose of this bill is to </w:t>
      </w:r>
      <w:r w:rsidR="004C3188" w:rsidRPr="004C3188">
        <w:t>require medical examiners to review medical and immunization records and document any immunizations or emergency countermeasures given within 90 days before their death</w:t>
      </w:r>
      <w:r w:rsidR="004C3188">
        <w:t xml:space="preserve"> of any person under age 20 who died unexpectedly and</w:t>
      </w:r>
      <w:r w:rsidR="004C3188" w:rsidRPr="004C3188">
        <w:t xml:space="preserve"> include</w:t>
      </w:r>
      <w:r w:rsidR="004C3188">
        <w:t>s</w:t>
      </w:r>
      <w:r w:rsidR="004C3188" w:rsidRPr="004C3188">
        <w:t xml:space="preserve"> penalties for medical examiners who fail to comply with these requirements.</w:t>
      </w:r>
    </w:p>
    <w:p w14:paraId="01968D9D"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812A33">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596B4" w14:textId="77777777" w:rsidR="00812A33" w:rsidRPr="00B844FE" w:rsidRDefault="00812A33" w:rsidP="00B844FE">
      <w:r>
        <w:separator/>
      </w:r>
    </w:p>
  </w:endnote>
  <w:endnote w:type="continuationSeparator" w:id="0">
    <w:p w14:paraId="6622F5F9" w14:textId="77777777" w:rsidR="00812A33" w:rsidRPr="00B844FE" w:rsidRDefault="00812A3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1F9A8855"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66CDE77"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0B55516A"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A35537" w14:textId="77777777" w:rsidR="00812A33" w:rsidRPr="00B844FE" w:rsidRDefault="00812A33" w:rsidP="00B844FE">
      <w:r>
        <w:separator/>
      </w:r>
    </w:p>
  </w:footnote>
  <w:footnote w:type="continuationSeparator" w:id="0">
    <w:p w14:paraId="0A8F4942" w14:textId="77777777" w:rsidR="00812A33" w:rsidRPr="00B844FE" w:rsidRDefault="00812A3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139F5" w14:textId="77777777" w:rsidR="002A0269" w:rsidRPr="00B844FE" w:rsidRDefault="0033236E">
    <w:pPr>
      <w:pStyle w:val="Header"/>
    </w:pPr>
    <w:sdt>
      <w:sdtPr>
        <w:id w:val="-684364211"/>
        <w:placeholder>
          <w:docPart w:val="061F94699F064A95AE18CE9B214B9BBA"/>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061F94699F064A95AE18CE9B214B9BBA"/>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5BF88" w14:textId="72DB3223"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812A33">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812A33">
          <w:rPr>
            <w:sz w:val="22"/>
            <w:szCs w:val="22"/>
          </w:rPr>
          <w:t>2026R2194</w:t>
        </w:r>
      </w:sdtContent>
    </w:sdt>
  </w:p>
  <w:p w14:paraId="0071A72A"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21E91"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A33"/>
    <w:rsid w:val="0000526A"/>
    <w:rsid w:val="00033D60"/>
    <w:rsid w:val="00041C1F"/>
    <w:rsid w:val="000435F2"/>
    <w:rsid w:val="000573A9"/>
    <w:rsid w:val="00085D22"/>
    <w:rsid w:val="00093AB0"/>
    <w:rsid w:val="000A60F0"/>
    <w:rsid w:val="000C5C77"/>
    <w:rsid w:val="000E3912"/>
    <w:rsid w:val="0010070F"/>
    <w:rsid w:val="0015112E"/>
    <w:rsid w:val="001552E7"/>
    <w:rsid w:val="001566B4"/>
    <w:rsid w:val="001A66B7"/>
    <w:rsid w:val="001B1822"/>
    <w:rsid w:val="001C279E"/>
    <w:rsid w:val="001D459E"/>
    <w:rsid w:val="0020151F"/>
    <w:rsid w:val="00211F02"/>
    <w:rsid w:val="0022348D"/>
    <w:rsid w:val="0027011C"/>
    <w:rsid w:val="00274200"/>
    <w:rsid w:val="00275740"/>
    <w:rsid w:val="002A0269"/>
    <w:rsid w:val="00303684"/>
    <w:rsid w:val="003143F5"/>
    <w:rsid w:val="00314854"/>
    <w:rsid w:val="0033236E"/>
    <w:rsid w:val="00394191"/>
    <w:rsid w:val="003C51CD"/>
    <w:rsid w:val="003C6034"/>
    <w:rsid w:val="003E255F"/>
    <w:rsid w:val="00400B5C"/>
    <w:rsid w:val="004368E0"/>
    <w:rsid w:val="00485A57"/>
    <w:rsid w:val="004C13DD"/>
    <w:rsid w:val="004C3188"/>
    <w:rsid w:val="004D3ABE"/>
    <w:rsid w:val="004E3441"/>
    <w:rsid w:val="00500579"/>
    <w:rsid w:val="005138F6"/>
    <w:rsid w:val="00572702"/>
    <w:rsid w:val="005A5366"/>
    <w:rsid w:val="006369EB"/>
    <w:rsid w:val="00637E73"/>
    <w:rsid w:val="006865E9"/>
    <w:rsid w:val="00686E9A"/>
    <w:rsid w:val="00691F3E"/>
    <w:rsid w:val="00694BFB"/>
    <w:rsid w:val="006A106B"/>
    <w:rsid w:val="006C523D"/>
    <w:rsid w:val="006D4036"/>
    <w:rsid w:val="00757368"/>
    <w:rsid w:val="00766AD0"/>
    <w:rsid w:val="007A0182"/>
    <w:rsid w:val="007A5259"/>
    <w:rsid w:val="007A7081"/>
    <w:rsid w:val="007F1CF5"/>
    <w:rsid w:val="00812A33"/>
    <w:rsid w:val="00814EDA"/>
    <w:rsid w:val="00834EDE"/>
    <w:rsid w:val="008736AA"/>
    <w:rsid w:val="008D275D"/>
    <w:rsid w:val="00946186"/>
    <w:rsid w:val="00980327"/>
    <w:rsid w:val="00986478"/>
    <w:rsid w:val="009B5557"/>
    <w:rsid w:val="009F1067"/>
    <w:rsid w:val="00A31E01"/>
    <w:rsid w:val="00A527AD"/>
    <w:rsid w:val="00A718CF"/>
    <w:rsid w:val="00AA069B"/>
    <w:rsid w:val="00AE48A0"/>
    <w:rsid w:val="00AE61BE"/>
    <w:rsid w:val="00B16F25"/>
    <w:rsid w:val="00B24422"/>
    <w:rsid w:val="00B66B81"/>
    <w:rsid w:val="00B71E6F"/>
    <w:rsid w:val="00B757B8"/>
    <w:rsid w:val="00B80C20"/>
    <w:rsid w:val="00B844FE"/>
    <w:rsid w:val="00B86B4F"/>
    <w:rsid w:val="00BA1F84"/>
    <w:rsid w:val="00BC562B"/>
    <w:rsid w:val="00BC6826"/>
    <w:rsid w:val="00C33014"/>
    <w:rsid w:val="00C33434"/>
    <w:rsid w:val="00C34869"/>
    <w:rsid w:val="00C42EB6"/>
    <w:rsid w:val="00C62327"/>
    <w:rsid w:val="00C85096"/>
    <w:rsid w:val="00CB20EF"/>
    <w:rsid w:val="00CC1F3B"/>
    <w:rsid w:val="00CD12CB"/>
    <w:rsid w:val="00CD36CF"/>
    <w:rsid w:val="00CD3DA3"/>
    <w:rsid w:val="00CF1DCA"/>
    <w:rsid w:val="00D579FC"/>
    <w:rsid w:val="00D81C16"/>
    <w:rsid w:val="00DE526B"/>
    <w:rsid w:val="00DF199D"/>
    <w:rsid w:val="00E01542"/>
    <w:rsid w:val="00E365F1"/>
    <w:rsid w:val="00E62F48"/>
    <w:rsid w:val="00E831B3"/>
    <w:rsid w:val="00E95FBC"/>
    <w:rsid w:val="00EC5E63"/>
    <w:rsid w:val="00ED105F"/>
    <w:rsid w:val="00EE70CB"/>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EACE27"/>
  <w15:chartTrackingRefBased/>
  <w15:docId w15:val="{CBE6EE11-31B0-4813-9A37-E38163918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812A33"/>
    <w:rPr>
      <w:rFonts w:eastAsia="Calibri"/>
      <w:b/>
      <w:caps/>
      <w:color w:val="000000"/>
      <w:sz w:val="24"/>
    </w:rPr>
  </w:style>
  <w:style w:type="character" w:customStyle="1" w:styleId="SectionBodyChar">
    <w:name w:val="Section Body Char"/>
    <w:link w:val="SectionBody"/>
    <w:rsid w:val="00812A33"/>
    <w:rPr>
      <w:rFonts w:eastAsia="Calibri"/>
      <w:color w:val="000000"/>
    </w:rPr>
  </w:style>
  <w:style w:type="character" w:customStyle="1" w:styleId="SectionHeadingChar">
    <w:name w:val="Section Heading Char"/>
    <w:link w:val="SectionHeading"/>
    <w:rsid w:val="00812A33"/>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CAE8CBFE7D14A52A995AF2E914F3C55"/>
        <w:category>
          <w:name w:val="General"/>
          <w:gallery w:val="placeholder"/>
        </w:category>
        <w:types>
          <w:type w:val="bbPlcHdr"/>
        </w:types>
        <w:behaviors>
          <w:behavior w:val="content"/>
        </w:behaviors>
        <w:guid w:val="{1CB07302-FA6F-44B5-9E9A-1908547AE27B}"/>
      </w:docPartPr>
      <w:docPartBody>
        <w:p w:rsidR="00513964" w:rsidRDefault="00513964">
          <w:pPr>
            <w:pStyle w:val="ACAE8CBFE7D14A52A995AF2E914F3C55"/>
          </w:pPr>
          <w:r w:rsidRPr="00B844FE">
            <w:t>Prefix Text</w:t>
          </w:r>
        </w:p>
      </w:docPartBody>
    </w:docPart>
    <w:docPart>
      <w:docPartPr>
        <w:name w:val="061F94699F064A95AE18CE9B214B9BBA"/>
        <w:category>
          <w:name w:val="General"/>
          <w:gallery w:val="placeholder"/>
        </w:category>
        <w:types>
          <w:type w:val="bbPlcHdr"/>
        </w:types>
        <w:behaviors>
          <w:behavior w:val="content"/>
        </w:behaviors>
        <w:guid w:val="{D2CD7CF4-C390-473F-B7FE-89126FA93592}"/>
      </w:docPartPr>
      <w:docPartBody>
        <w:p w:rsidR="00513964" w:rsidRDefault="00513964">
          <w:pPr>
            <w:pStyle w:val="061F94699F064A95AE18CE9B214B9BBA"/>
          </w:pPr>
          <w:r w:rsidRPr="00B844FE">
            <w:t>[Type here]</w:t>
          </w:r>
        </w:p>
      </w:docPartBody>
    </w:docPart>
    <w:docPart>
      <w:docPartPr>
        <w:name w:val="FCA55153DD284DA6B52F81DE8B241B68"/>
        <w:category>
          <w:name w:val="General"/>
          <w:gallery w:val="placeholder"/>
        </w:category>
        <w:types>
          <w:type w:val="bbPlcHdr"/>
        </w:types>
        <w:behaviors>
          <w:behavior w:val="content"/>
        </w:behaviors>
        <w:guid w:val="{58221D63-944F-435E-BFC1-5DD5F10960EA}"/>
      </w:docPartPr>
      <w:docPartBody>
        <w:p w:rsidR="00513964" w:rsidRDefault="00513964">
          <w:pPr>
            <w:pStyle w:val="FCA55153DD284DA6B52F81DE8B241B68"/>
          </w:pPr>
          <w:r w:rsidRPr="00B844FE">
            <w:t>Number</w:t>
          </w:r>
        </w:p>
      </w:docPartBody>
    </w:docPart>
    <w:docPart>
      <w:docPartPr>
        <w:name w:val="BF6435D758DB421BB13BD2B72FD04141"/>
        <w:category>
          <w:name w:val="General"/>
          <w:gallery w:val="placeholder"/>
        </w:category>
        <w:types>
          <w:type w:val="bbPlcHdr"/>
        </w:types>
        <w:behaviors>
          <w:behavior w:val="content"/>
        </w:behaviors>
        <w:guid w:val="{A856FA58-ACE4-40F5-A49C-6BBE82C37FBB}"/>
      </w:docPartPr>
      <w:docPartBody>
        <w:p w:rsidR="00513964" w:rsidRDefault="00513964">
          <w:pPr>
            <w:pStyle w:val="BF6435D758DB421BB13BD2B72FD04141"/>
          </w:pPr>
          <w:r w:rsidRPr="00B844FE">
            <w:t>Enter Sponsors Here</w:t>
          </w:r>
        </w:p>
      </w:docPartBody>
    </w:docPart>
    <w:docPart>
      <w:docPartPr>
        <w:name w:val="7EA21111DB6549BC81A627718D091997"/>
        <w:category>
          <w:name w:val="General"/>
          <w:gallery w:val="placeholder"/>
        </w:category>
        <w:types>
          <w:type w:val="bbPlcHdr"/>
        </w:types>
        <w:behaviors>
          <w:behavior w:val="content"/>
        </w:behaviors>
        <w:guid w:val="{C00A5812-9812-4ED8-8B85-E053215AFA78}"/>
      </w:docPartPr>
      <w:docPartBody>
        <w:p w:rsidR="00513964" w:rsidRDefault="00513964">
          <w:pPr>
            <w:pStyle w:val="7EA21111DB6549BC81A627718D09199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964"/>
    <w:rsid w:val="003E255F"/>
    <w:rsid w:val="005138F6"/>
    <w:rsid w:val="00513964"/>
    <w:rsid w:val="00757368"/>
    <w:rsid w:val="00814EDA"/>
    <w:rsid w:val="00ED10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AE8CBFE7D14A52A995AF2E914F3C55">
    <w:name w:val="ACAE8CBFE7D14A52A995AF2E914F3C55"/>
  </w:style>
  <w:style w:type="paragraph" w:customStyle="1" w:styleId="061F94699F064A95AE18CE9B214B9BBA">
    <w:name w:val="061F94699F064A95AE18CE9B214B9BBA"/>
  </w:style>
  <w:style w:type="paragraph" w:customStyle="1" w:styleId="FCA55153DD284DA6B52F81DE8B241B68">
    <w:name w:val="FCA55153DD284DA6B52F81DE8B241B68"/>
  </w:style>
  <w:style w:type="paragraph" w:customStyle="1" w:styleId="BF6435D758DB421BB13BD2B72FD04141">
    <w:name w:val="BF6435D758DB421BB13BD2B72FD04141"/>
  </w:style>
  <w:style w:type="character" w:styleId="PlaceholderText">
    <w:name w:val="Placeholder Text"/>
    <w:basedOn w:val="DefaultParagraphFont"/>
    <w:uiPriority w:val="99"/>
    <w:semiHidden/>
    <w:rPr>
      <w:color w:val="808080"/>
    </w:rPr>
  </w:style>
  <w:style w:type="paragraph" w:customStyle="1" w:styleId="7EA21111DB6549BC81A627718D091997">
    <w:name w:val="7EA21111DB6549BC81A627718D0919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758</Words>
  <Characters>4322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Stuchell</dc:creator>
  <cp:keywords/>
  <dc:description/>
  <cp:lastModifiedBy>Sam Rowe</cp:lastModifiedBy>
  <cp:revision>2</cp:revision>
  <cp:lastPrinted>2026-01-19T15:11:00Z</cp:lastPrinted>
  <dcterms:created xsi:type="dcterms:W3CDTF">2026-01-20T22:12:00Z</dcterms:created>
  <dcterms:modified xsi:type="dcterms:W3CDTF">2026-01-20T22:12:00Z</dcterms:modified>
</cp:coreProperties>
</file>