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82D8" w14:textId="77777777" w:rsidR="00FE067E" w:rsidRDefault="003C6034" w:rsidP="00CC1F3B">
      <w:pPr>
        <w:pStyle w:val="TitlePageOrigin"/>
      </w:pPr>
      <w:r>
        <w:rPr>
          <w:caps w:val="0"/>
        </w:rPr>
        <w:t>WEST VIRGINIA LEGISLATURE</w:t>
      </w:r>
    </w:p>
    <w:p w14:paraId="59F35349" w14:textId="4E75627B" w:rsidR="00CD36CF" w:rsidRDefault="00CD36CF" w:rsidP="00CC1F3B">
      <w:pPr>
        <w:pStyle w:val="TitlePageSession"/>
      </w:pPr>
      <w:r>
        <w:t>20</w:t>
      </w:r>
      <w:r w:rsidR="00EC5E63">
        <w:t>2</w:t>
      </w:r>
      <w:r w:rsidR="0020151F">
        <w:t>6</w:t>
      </w:r>
      <w:r>
        <w:t xml:space="preserve"> </w:t>
      </w:r>
      <w:r w:rsidR="003C6034">
        <w:rPr>
          <w:caps w:val="0"/>
        </w:rPr>
        <w:t>REGULAR SESSION</w:t>
      </w:r>
      <w:r w:rsidR="00A707EC">
        <w:rPr>
          <w:noProof/>
        </w:rPr>
        <mc:AlternateContent>
          <mc:Choice Requires="wps">
            <w:drawing>
              <wp:anchor distT="0" distB="0" distL="114300" distR="114300" simplePos="0" relativeHeight="251659264" behindDoc="0" locked="0" layoutInCell="1" allowOverlap="1" wp14:anchorId="084FF914" wp14:editId="4ABC6495">
                <wp:simplePos x="0" y="0"/>
                <wp:positionH relativeFrom="column">
                  <wp:posOffset>6007100</wp:posOffset>
                </wp:positionH>
                <wp:positionV relativeFrom="paragraph">
                  <wp:posOffset>1617980</wp:posOffset>
                </wp:positionV>
                <wp:extent cx="635000" cy="476250"/>
                <wp:effectExtent l="0" t="0" r="12700" b="19050"/>
                <wp:wrapNone/>
                <wp:docPr id="81844071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9321E7" w14:textId="0753A0D8" w:rsidR="00A707EC" w:rsidRPr="00A707EC" w:rsidRDefault="00A707EC" w:rsidP="00A707EC">
                            <w:pPr>
                              <w:spacing w:line="240" w:lineRule="auto"/>
                              <w:jc w:val="center"/>
                              <w:rPr>
                                <w:rFonts w:cs="Arial"/>
                                <w:b/>
                              </w:rPr>
                            </w:pPr>
                            <w:r w:rsidRPr="00A707E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4FF91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C9321E7" w14:textId="0753A0D8" w:rsidR="00A707EC" w:rsidRPr="00A707EC" w:rsidRDefault="00A707EC" w:rsidP="00A707EC">
                      <w:pPr>
                        <w:spacing w:line="240" w:lineRule="auto"/>
                        <w:jc w:val="center"/>
                        <w:rPr>
                          <w:rFonts w:cs="Arial"/>
                          <w:b/>
                        </w:rPr>
                      </w:pPr>
                      <w:r w:rsidRPr="00A707EC">
                        <w:rPr>
                          <w:rFonts w:cs="Arial"/>
                          <w:b/>
                        </w:rPr>
                        <w:t>FISCAL NOTE</w:t>
                      </w:r>
                    </w:p>
                  </w:txbxContent>
                </v:textbox>
              </v:shape>
            </w:pict>
          </mc:Fallback>
        </mc:AlternateContent>
      </w:r>
    </w:p>
    <w:p w14:paraId="66CF07E9" w14:textId="77777777" w:rsidR="00CD36CF" w:rsidRDefault="00C8219F" w:rsidP="00CC1F3B">
      <w:pPr>
        <w:pStyle w:val="TitlePageBillPrefix"/>
      </w:pPr>
      <w:sdt>
        <w:sdtPr>
          <w:tag w:val="IntroDate"/>
          <w:id w:val="-1236936958"/>
          <w:placeholder>
            <w:docPart w:val="A3857864DB6A46879762A1510F163B50"/>
          </w:placeholder>
          <w:text/>
        </w:sdtPr>
        <w:sdtEndPr/>
        <w:sdtContent>
          <w:r w:rsidR="00AE48A0">
            <w:t>Introduced</w:t>
          </w:r>
        </w:sdtContent>
      </w:sdt>
    </w:p>
    <w:p w14:paraId="2F6F612B" w14:textId="48B0DA9B" w:rsidR="00CD36CF" w:rsidRDefault="00C8219F" w:rsidP="00CC1F3B">
      <w:pPr>
        <w:pStyle w:val="BillNumber"/>
      </w:pPr>
      <w:sdt>
        <w:sdtPr>
          <w:tag w:val="Chamber"/>
          <w:id w:val="893011969"/>
          <w:lock w:val="sdtLocked"/>
          <w:placeholder>
            <w:docPart w:val="B5B0A74BAD92407980000594B67D1FC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4452FD2B70D4547B54C6D4D6D3F188B"/>
          </w:placeholder>
          <w:text/>
        </w:sdtPr>
        <w:sdtEndPr/>
        <w:sdtContent>
          <w:r>
            <w:t>4722</w:t>
          </w:r>
        </w:sdtContent>
      </w:sdt>
    </w:p>
    <w:p w14:paraId="5EEF7B32" w14:textId="53550538" w:rsidR="00CD36CF" w:rsidRDefault="00CD36CF" w:rsidP="00CC1F3B">
      <w:pPr>
        <w:pStyle w:val="Sponsors"/>
      </w:pPr>
      <w:r>
        <w:t xml:space="preserve">By </w:t>
      </w:r>
      <w:sdt>
        <w:sdtPr>
          <w:tag w:val="Sponsors"/>
          <w:id w:val="1589585889"/>
          <w:placeholder>
            <w:docPart w:val="A6486362D99947FFB5B257B7D1DD8CF7"/>
          </w:placeholder>
          <w:text w:multiLine="1"/>
        </w:sdtPr>
        <w:sdtEndPr/>
        <w:sdtContent>
          <w:r w:rsidR="00127298">
            <w:t>Delegate</w:t>
          </w:r>
          <w:r w:rsidR="0068102D">
            <w:t>s</w:t>
          </w:r>
          <w:r w:rsidR="00127298">
            <w:t xml:space="preserve"> Heckert</w:t>
          </w:r>
          <w:r w:rsidR="0068102D">
            <w:t>, McCormick, D. Cannon, Adkins, Stephens, Roop, Crouse, Marple, Browning, Masters, and G. Howell</w:t>
          </w:r>
        </w:sdtContent>
      </w:sdt>
    </w:p>
    <w:p w14:paraId="24561F6F" w14:textId="1EA7B250" w:rsidR="00E831B3" w:rsidRDefault="00CD36CF" w:rsidP="00CC1F3B">
      <w:pPr>
        <w:pStyle w:val="References"/>
      </w:pPr>
      <w:r>
        <w:t>[</w:t>
      </w:r>
      <w:sdt>
        <w:sdtPr>
          <w:tag w:val="References"/>
          <w:id w:val="-1043047873"/>
          <w:placeholder>
            <w:docPart w:val="378481CC59F0413A80B78BDAA88FE4E4"/>
          </w:placeholder>
          <w:text w:multiLine="1"/>
        </w:sdtPr>
        <w:sdtEndPr/>
        <w:sdtContent>
          <w:r w:rsidR="00C8219F">
            <w:t>Introduced January 22, 2026; referred to the Committee on the Judiciary</w:t>
          </w:r>
        </w:sdtContent>
      </w:sdt>
      <w:r>
        <w:t>]</w:t>
      </w:r>
    </w:p>
    <w:p w14:paraId="170098E1" w14:textId="353C1519" w:rsidR="00303684" w:rsidRDefault="0000526A" w:rsidP="00CC1F3B">
      <w:pPr>
        <w:pStyle w:val="TitleSection"/>
      </w:pPr>
      <w:r>
        <w:lastRenderedPageBreak/>
        <w:t>A BILL</w:t>
      </w:r>
      <w:r w:rsidR="00611EF1">
        <w:t xml:space="preserve"> to amend the Code of West Virginia, 1931, as amended, by adding a new article, designated §</w:t>
      </w:r>
      <w:r w:rsidR="00611EF1" w:rsidRPr="00611EF1">
        <w:t>61-5B-1</w:t>
      </w:r>
      <w:r w:rsidR="00611EF1">
        <w:t>, relating to false judicial accusations;</w:t>
      </w:r>
      <w:r w:rsidR="00127298">
        <w:t xml:space="preserve"> providing definitions; creating an offense; creating criminal penalties; providing remedies; creating enhanced penalties; and providing a confidential registry.</w:t>
      </w:r>
    </w:p>
    <w:p w14:paraId="79588E52" w14:textId="470A4C3C" w:rsidR="00611EF1" w:rsidRDefault="00303684" w:rsidP="00CC1F3B">
      <w:pPr>
        <w:pStyle w:val="EnactingClause"/>
        <w:rPr>
          <w:i w:val="0"/>
          <w:iCs/>
        </w:rPr>
      </w:pPr>
      <w:r>
        <w:t>Be it enacted by the Legislature of West Virginia:</w:t>
      </w:r>
    </w:p>
    <w:p w14:paraId="1F16BDC7" w14:textId="40A01174" w:rsidR="00611EF1" w:rsidRPr="00611EF1" w:rsidRDefault="00611EF1" w:rsidP="00611EF1">
      <w:pPr>
        <w:pStyle w:val="ArticleHeading"/>
        <w:rPr>
          <w:i/>
          <w:iCs/>
          <w:u w:val="single"/>
        </w:rPr>
        <w:sectPr w:rsidR="00611EF1" w:rsidRPr="00611EF1" w:rsidSect="00611E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11EF1">
        <w:rPr>
          <w:u w:val="single"/>
        </w:rPr>
        <w:t xml:space="preserve">ARTICLE 5B. false </w:t>
      </w:r>
      <w:r w:rsidR="00127298">
        <w:rPr>
          <w:u w:val="single"/>
        </w:rPr>
        <w:t xml:space="preserve">judicial </w:t>
      </w:r>
      <w:r w:rsidRPr="00611EF1">
        <w:rPr>
          <w:u w:val="single"/>
        </w:rPr>
        <w:t>accusations</w:t>
      </w:r>
      <w:r w:rsidR="00127298">
        <w:rPr>
          <w:u w:val="single"/>
        </w:rPr>
        <w:t xml:space="preserve"> after the determination of falsity</w:t>
      </w:r>
      <w:r w:rsidRPr="00611EF1">
        <w:rPr>
          <w:u w:val="single"/>
        </w:rPr>
        <w:t>.</w:t>
      </w:r>
    </w:p>
    <w:p w14:paraId="173868FC" w14:textId="09CEA9DE" w:rsidR="00611EF1" w:rsidRPr="00611EF1" w:rsidRDefault="00611EF1" w:rsidP="0081071B">
      <w:pPr>
        <w:pStyle w:val="SectionHeading"/>
        <w:rPr>
          <w:u w:val="single"/>
        </w:rPr>
      </w:pPr>
      <w:r w:rsidRPr="00611EF1">
        <w:rPr>
          <w:u w:val="single"/>
        </w:rPr>
        <w:t xml:space="preserve">§61-5B-1. </w:t>
      </w:r>
      <w:r>
        <w:rPr>
          <w:u w:val="single"/>
        </w:rPr>
        <w:t>False judicial accusation</w:t>
      </w:r>
      <w:r w:rsidRPr="00611EF1">
        <w:rPr>
          <w:u w:val="single"/>
        </w:rPr>
        <w:t>.</w:t>
      </w:r>
    </w:p>
    <w:p w14:paraId="75590BC3" w14:textId="40BC6202" w:rsidR="00611EF1" w:rsidRPr="00611EF1" w:rsidRDefault="00611EF1" w:rsidP="0081071B">
      <w:pPr>
        <w:pStyle w:val="SectionBody"/>
        <w:rPr>
          <w:u w:val="single"/>
        </w:rPr>
      </w:pPr>
      <w:r>
        <w:rPr>
          <w:u w:val="single"/>
        </w:rPr>
        <w:t xml:space="preserve">(a) </w:t>
      </w:r>
      <w:r w:rsidRPr="00611EF1">
        <w:rPr>
          <w:i/>
          <w:iCs/>
          <w:u w:val="single"/>
        </w:rPr>
        <w:t>Definitions.</w:t>
      </w:r>
      <w:r>
        <w:rPr>
          <w:u w:val="single"/>
        </w:rPr>
        <w:t xml:space="preserve"> – </w:t>
      </w:r>
      <w:r w:rsidRPr="00611EF1">
        <w:rPr>
          <w:u w:val="single"/>
        </w:rPr>
        <w:t>For purposes of this article, the following terms have the following meanings:</w:t>
      </w:r>
    </w:p>
    <w:p w14:paraId="0BD04B27" w14:textId="76819DAA" w:rsidR="00611EF1" w:rsidRDefault="00611EF1" w:rsidP="00611EF1">
      <w:pPr>
        <w:pStyle w:val="SectionBody"/>
        <w:rPr>
          <w:u w:val="single"/>
        </w:rPr>
      </w:pPr>
      <w:r w:rsidRPr="00611EF1">
        <w:rPr>
          <w:u w:val="single"/>
        </w:rPr>
        <w:t xml:space="preserve"> </w:t>
      </w:r>
      <w:r w:rsidR="00A7779B">
        <w:rPr>
          <w:u w:val="single"/>
        </w:rPr>
        <w:t xml:space="preserve">(1) </w:t>
      </w:r>
      <w:r w:rsidRPr="00611EF1">
        <w:rPr>
          <w:u w:val="single"/>
        </w:rPr>
        <w:t>"False judicial accusation" untrue claims of wrongdoing made in a legal context, often with intent to harm, and can range from intentionally lying under oath (perjury) to filing baseless police reports or providing fabricated evidence, obstructing justice and potentially leading to severe penalties for the accuser and serious consequences for the falsely accused.</w:t>
      </w:r>
    </w:p>
    <w:p w14:paraId="2E6A936D" w14:textId="29A01F90" w:rsidR="006B013D" w:rsidRDefault="00A7779B" w:rsidP="00611EF1">
      <w:pPr>
        <w:pStyle w:val="SectionBody"/>
        <w:rPr>
          <w:u w:val="single"/>
        </w:rPr>
      </w:pPr>
      <w:r>
        <w:rPr>
          <w:u w:val="single"/>
        </w:rPr>
        <w:t xml:space="preserve">(2) </w:t>
      </w:r>
      <w:r w:rsidR="00127298">
        <w:rPr>
          <w:u w:val="single"/>
        </w:rPr>
        <w:t>"</w:t>
      </w:r>
      <w:r w:rsidR="006B013D" w:rsidRPr="006B013D">
        <w:rPr>
          <w:u w:val="single"/>
        </w:rPr>
        <w:t>Harm</w:t>
      </w:r>
      <w:r w:rsidR="00127298">
        <w:rPr>
          <w:u w:val="single"/>
        </w:rPr>
        <w:t>"</w:t>
      </w:r>
      <w:r w:rsidR="006B013D" w:rsidRPr="006B013D">
        <w:rPr>
          <w:u w:val="single"/>
        </w:rPr>
        <w:t xml:space="preserve"> means </w:t>
      </w:r>
      <w:r w:rsidR="006B013D">
        <w:rPr>
          <w:u w:val="single"/>
        </w:rPr>
        <w:t>t</w:t>
      </w:r>
      <w:r w:rsidR="006B013D" w:rsidRPr="006B013D">
        <w:rPr>
          <w:u w:val="single"/>
        </w:rPr>
        <w:t>he severe, and sometimes irreparable, injury to an individual’s reputation, liberty, emotional well-being, and financial stability, alongside the disruption of the justice system.</w:t>
      </w:r>
    </w:p>
    <w:p w14:paraId="5FD62877" w14:textId="34884636" w:rsidR="006B013D" w:rsidRDefault="00A7779B" w:rsidP="00611EF1">
      <w:pPr>
        <w:pStyle w:val="SectionBody"/>
        <w:rPr>
          <w:u w:val="single"/>
        </w:rPr>
      </w:pPr>
      <w:r>
        <w:rPr>
          <w:u w:val="single"/>
        </w:rPr>
        <w:t xml:space="preserve">(3) </w:t>
      </w:r>
      <w:r w:rsidR="00127298">
        <w:rPr>
          <w:u w:val="single"/>
        </w:rPr>
        <w:t>"</w:t>
      </w:r>
      <w:r w:rsidR="006B013D" w:rsidRPr="006B013D">
        <w:rPr>
          <w:u w:val="single"/>
        </w:rPr>
        <w:t>Judicial proceeding</w:t>
      </w:r>
      <w:r w:rsidR="00127298">
        <w:rPr>
          <w:u w:val="single"/>
        </w:rPr>
        <w:t>"</w:t>
      </w:r>
      <w:r w:rsidR="006B013D" w:rsidRPr="006B013D">
        <w:rPr>
          <w:u w:val="single"/>
        </w:rPr>
        <w:t xml:space="preserve"> means</w:t>
      </w:r>
      <w:r w:rsidR="006B013D">
        <w:rPr>
          <w:u w:val="single"/>
        </w:rPr>
        <w:t>:</w:t>
      </w:r>
    </w:p>
    <w:p w14:paraId="621B3BCF" w14:textId="77777777" w:rsidR="006B013D" w:rsidRDefault="006B013D" w:rsidP="00611EF1">
      <w:pPr>
        <w:pStyle w:val="SectionBody"/>
        <w:rPr>
          <w:u w:val="single"/>
        </w:rPr>
      </w:pPr>
      <w:r w:rsidRPr="006B013D">
        <w:rPr>
          <w:u w:val="single"/>
        </w:rPr>
        <w:t>(</w:t>
      </w:r>
      <w:r>
        <w:rPr>
          <w:u w:val="single"/>
        </w:rPr>
        <w:t>A</w:t>
      </w:r>
      <w:r w:rsidRPr="006B013D">
        <w:rPr>
          <w:u w:val="single"/>
        </w:rPr>
        <w:t xml:space="preserve">) </w:t>
      </w:r>
      <w:r>
        <w:rPr>
          <w:u w:val="single"/>
        </w:rPr>
        <w:t>A</w:t>
      </w:r>
      <w:r w:rsidRPr="006B013D">
        <w:rPr>
          <w:u w:val="single"/>
        </w:rPr>
        <w:t>ny proceeding before any court or commissioner thereof or justice of the peace</w:t>
      </w:r>
      <w:r>
        <w:rPr>
          <w:u w:val="single"/>
        </w:rPr>
        <w:t>;</w:t>
      </w:r>
      <w:r w:rsidRPr="006B013D">
        <w:rPr>
          <w:u w:val="single"/>
        </w:rPr>
        <w:t xml:space="preserve"> or</w:t>
      </w:r>
    </w:p>
    <w:p w14:paraId="5A53FDBD" w14:textId="7F02826A" w:rsidR="006B013D" w:rsidRPr="00611EF1" w:rsidRDefault="006B013D" w:rsidP="00611EF1">
      <w:pPr>
        <w:pStyle w:val="SectionBody"/>
        <w:rPr>
          <w:u w:val="single"/>
        </w:rPr>
      </w:pPr>
      <w:r>
        <w:rPr>
          <w:u w:val="single"/>
        </w:rPr>
        <w:t>(B) A</w:t>
      </w:r>
      <w:r w:rsidRPr="006B013D">
        <w:rPr>
          <w:u w:val="single"/>
        </w:rPr>
        <w:t>ny quasi-judicial proceeding before a board, commission or public servant, the outcome of which is required to be based on a record or documentation prescribed by law</w:t>
      </w:r>
      <w:r>
        <w:rPr>
          <w:u w:val="single"/>
        </w:rPr>
        <w:t>.</w:t>
      </w:r>
    </w:p>
    <w:p w14:paraId="3FB7DED9" w14:textId="72A8FC39" w:rsidR="00611EF1" w:rsidRPr="006B013D" w:rsidRDefault="006B013D" w:rsidP="00611EF1">
      <w:pPr>
        <w:pStyle w:val="SectionBody"/>
        <w:rPr>
          <w:u w:val="single"/>
        </w:rPr>
      </w:pPr>
      <w:r w:rsidRPr="006B013D">
        <w:rPr>
          <w:u w:val="single"/>
        </w:rPr>
        <w:t xml:space="preserve">(b) </w:t>
      </w:r>
      <w:r w:rsidRPr="006B013D">
        <w:rPr>
          <w:i/>
          <w:iCs/>
          <w:u w:val="single"/>
        </w:rPr>
        <w:t>Offense.</w:t>
      </w:r>
      <w:r w:rsidRPr="006B013D">
        <w:rPr>
          <w:u w:val="single"/>
        </w:rPr>
        <w:t xml:space="preserve"> – A person commits the offense of false judicial accusation after determination of falsity if the person knowingly makes, repeats, maintains, or republishes a false allegation within a judicial proceeding after notice of a determination of falsity and with intent to cause harm or influence a judicial outcome.</w:t>
      </w:r>
    </w:p>
    <w:p w14:paraId="3CF6C7B1" w14:textId="5E0AD1C9" w:rsidR="00611EF1" w:rsidRPr="006B013D" w:rsidRDefault="006B013D" w:rsidP="00611EF1">
      <w:pPr>
        <w:pStyle w:val="SectionBody"/>
        <w:rPr>
          <w:u w:val="single"/>
        </w:rPr>
      </w:pPr>
      <w:r w:rsidRPr="006B013D">
        <w:rPr>
          <w:u w:val="single"/>
        </w:rPr>
        <w:t xml:space="preserve">(c) </w:t>
      </w:r>
      <w:r w:rsidRPr="006B013D">
        <w:rPr>
          <w:i/>
          <w:iCs/>
          <w:u w:val="single"/>
        </w:rPr>
        <w:t>Criminal penalties</w:t>
      </w:r>
      <w:r w:rsidRPr="006B013D">
        <w:rPr>
          <w:u w:val="single"/>
        </w:rPr>
        <w:t>. – A violation of this section constitutes a misdemeanor for a first offense and a felony for a second or subsequent offense. Enhanced felony penalties apply where the false allegation results in arrest, loss of custody, issuance of a protective order, or loss of employment or licensure.</w:t>
      </w:r>
    </w:p>
    <w:p w14:paraId="4FA38C3D" w14:textId="5D3F444C" w:rsidR="006B013D" w:rsidRPr="006B013D" w:rsidRDefault="006B013D" w:rsidP="00611EF1">
      <w:pPr>
        <w:pStyle w:val="SectionBody"/>
        <w:rPr>
          <w:u w:val="single"/>
        </w:rPr>
      </w:pPr>
      <w:r w:rsidRPr="006B013D">
        <w:rPr>
          <w:u w:val="single"/>
        </w:rPr>
        <w:t xml:space="preserve">(d) </w:t>
      </w:r>
      <w:r w:rsidRPr="006B013D">
        <w:rPr>
          <w:i/>
          <w:iCs/>
          <w:u w:val="single"/>
        </w:rPr>
        <w:t>Mandatory remedies</w:t>
      </w:r>
      <w:r w:rsidRPr="006B013D">
        <w:rPr>
          <w:u w:val="single"/>
        </w:rPr>
        <w:t>. – Upon conviction, the court shall order restitution, corrective notice to affected agencies, and expungement assistance for records related to the false allegation.</w:t>
      </w:r>
    </w:p>
    <w:p w14:paraId="43355D3C" w14:textId="0BFC270B" w:rsidR="006B013D" w:rsidRPr="00127298" w:rsidRDefault="006B013D" w:rsidP="0081071B">
      <w:pPr>
        <w:pStyle w:val="SectionBody"/>
        <w:rPr>
          <w:u w:val="single"/>
        </w:rPr>
      </w:pPr>
      <w:r w:rsidRPr="00127298">
        <w:rPr>
          <w:u w:val="single"/>
        </w:rPr>
        <w:t xml:space="preserve">(e) </w:t>
      </w:r>
      <w:r w:rsidRPr="00127298">
        <w:rPr>
          <w:i/>
          <w:iCs/>
          <w:u w:val="single"/>
        </w:rPr>
        <w:t>Civil cause of action</w:t>
      </w:r>
      <w:r w:rsidRPr="00127298">
        <w:rPr>
          <w:u w:val="single"/>
        </w:rPr>
        <w:t>. – A person harmed by conduct prohibited under this article has a private right of action for damages, including presumed damages, attorney fees, and treble damages for repeat or aggravated violations.</w:t>
      </w:r>
    </w:p>
    <w:p w14:paraId="55292E23" w14:textId="68FFC7E8" w:rsidR="006B013D" w:rsidRPr="00127298" w:rsidRDefault="006B013D" w:rsidP="0081071B">
      <w:pPr>
        <w:pStyle w:val="SectionBody"/>
        <w:rPr>
          <w:u w:val="single"/>
        </w:rPr>
      </w:pPr>
      <w:r w:rsidRPr="00127298">
        <w:rPr>
          <w:u w:val="single"/>
        </w:rPr>
        <w:t xml:space="preserve">(f) </w:t>
      </w:r>
      <w:r w:rsidRPr="00127298">
        <w:rPr>
          <w:i/>
          <w:iCs/>
          <w:u w:val="single"/>
        </w:rPr>
        <w:t>Child protective services enhancement</w:t>
      </w:r>
      <w:r w:rsidRPr="00127298">
        <w:rPr>
          <w:u w:val="single"/>
        </w:rPr>
        <w:t>. –</w:t>
      </w:r>
      <w:r w:rsidR="00127298" w:rsidRPr="00127298">
        <w:rPr>
          <w:u w:val="single"/>
        </w:rPr>
        <w:t xml:space="preserve"> Knowingly making or maintaining a false allegation to child protective services after a determination of falsity is subject to enhanced penalties and limited disclosure of reporter identity for prosecution or civil action.</w:t>
      </w:r>
    </w:p>
    <w:p w14:paraId="0550AE74" w14:textId="429E6C18" w:rsidR="00127298" w:rsidRPr="00127298" w:rsidRDefault="00127298" w:rsidP="0081071B">
      <w:pPr>
        <w:pStyle w:val="SectionBody"/>
        <w:rPr>
          <w:u w:val="single"/>
        </w:rPr>
      </w:pPr>
      <w:r w:rsidRPr="00127298">
        <w:rPr>
          <w:u w:val="single"/>
        </w:rPr>
        <w:t xml:space="preserve">(g) </w:t>
      </w:r>
      <w:r w:rsidRPr="00127298">
        <w:rPr>
          <w:i/>
          <w:iCs/>
          <w:u w:val="single"/>
        </w:rPr>
        <w:t>Confidential registry</w:t>
      </w:r>
      <w:r w:rsidRPr="00127298">
        <w:rPr>
          <w:u w:val="single"/>
        </w:rPr>
        <w:t>. – The Supreme Court of Appeals shall maintain a non-public registry of persons convicted under this section for judicial and prosecutorial use only.</w:t>
      </w:r>
    </w:p>
    <w:p w14:paraId="73808231" w14:textId="162F489B" w:rsidR="00127298" w:rsidRPr="00127298" w:rsidRDefault="00127298" w:rsidP="00127298">
      <w:pPr>
        <w:pStyle w:val="SectionBody"/>
        <w:rPr>
          <w:u w:val="single"/>
        </w:rPr>
      </w:pPr>
      <w:r w:rsidRPr="00127298">
        <w:rPr>
          <w:u w:val="single"/>
        </w:rPr>
        <w:t xml:space="preserve">(h) </w:t>
      </w:r>
      <w:r w:rsidRPr="00127298">
        <w:rPr>
          <w:i/>
          <w:iCs/>
          <w:u w:val="single"/>
        </w:rPr>
        <w:t>Safe harbor</w:t>
      </w:r>
      <w:r w:rsidRPr="00127298">
        <w:rPr>
          <w:u w:val="single"/>
        </w:rPr>
        <w:t>. – This article does not apply to good-faith reports, timely recantations prior to a determination of falsity, or statements lacking intent to cause harm.</w:t>
      </w:r>
    </w:p>
    <w:p w14:paraId="50D3AFCE" w14:textId="44AB760F" w:rsidR="008736AA" w:rsidRPr="00127298" w:rsidRDefault="00127298" w:rsidP="00CC1F3B">
      <w:pPr>
        <w:pStyle w:val="SectionBody"/>
        <w:rPr>
          <w:u w:val="single"/>
        </w:rPr>
      </w:pPr>
      <w:r w:rsidRPr="00127298">
        <w:rPr>
          <w:u w:val="single"/>
        </w:rPr>
        <w:t xml:space="preserve">(i) </w:t>
      </w:r>
      <w:r w:rsidRPr="00127298">
        <w:rPr>
          <w:i/>
          <w:iCs/>
          <w:u w:val="single"/>
        </w:rPr>
        <w:t>Construction</w:t>
      </w:r>
      <w:r w:rsidRPr="00127298">
        <w:rPr>
          <w:u w:val="single"/>
        </w:rPr>
        <w:t>. – Nothing in this article shall be construed to discourage good-faith reporting, criminalize protected speech, or limit prosecutorial discretion.</w:t>
      </w:r>
    </w:p>
    <w:p w14:paraId="640C606E" w14:textId="77777777" w:rsidR="00C33014" w:rsidRDefault="00C33014" w:rsidP="00CC1F3B">
      <w:pPr>
        <w:pStyle w:val="Note"/>
      </w:pPr>
    </w:p>
    <w:p w14:paraId="64FF692D" w14:textId="77777777" w:rsidR="00127298" w:rsidRDefault="00CF1DCA" w:rsidP="00CC1F3B">
      <w:pPr>
        <w:pStyle w:val="Note"/>
      </w:pPr>
      <w:r>
        <w:t xml:space="preserve">NOTE: </w:t>
      </w:r>
      <w:r w:rsidR="00127298" w:rsidRPr="00127298">
        <w:t>The purpose of this bill is to create the crime of false judicial accusation after the determination of falsity.</w:t>
      </w:r>
    </w:p>
    <w:p w14:paraId="209E446C" w14:textId="651B57AD"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11E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641D" w14:textId="77777777" w:rsidR="00611EF1" w:rsidRPr="00B844FE" w:rsidRDefault="00611EF1" w:rsidP="00B844FE">
      <w:r>
        <w:separator/>
      </w:r>
    </w:p>
  </w:endnote>
  <w:endnote w:type="continuationSeparator" w:id="0">
    <w:p w14:paraId="1C6BB1DE" w14:textId="77777777" w:rsidR="00611EF1" w:rsidRPr="00B844FE" w:rsidRDefault="00611E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C6D1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73FA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F899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BB25" w14:textId="77777777" w:rsidR="00611EF1" w:rsidRPr="00B844FE" w:rsidRDefault="00611EF1" w:rsidP="00B844FE">
      <w:r>
        <w:separator/>
      </w:r>
    </w:p>
  </w:footnote>
  <w:footnote w:type="continuationSeparator" w:id="0">
    <w:p w14:paraId="48D7E700" w14:textId="77777777" w:rsidR="00611EF1" w:rsidRPr="00B844FE" w:rsidRDefault="00611E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45A2" w14:textId="77777777" w:rsidR="002A0269" w:rsidRPr="00B844FE" w:rsidRDefault="00C8219F">
    <w:pPr>
      <w:pStyle w:val="Header"/>
    </w:pPr>
    <w:sdt>
      <w:sdtPr>
        <w:id w:val="-684364211"/>
        <w:placeholder>
          <w:docPart w:val="B5B0A74BAD92407980000594B67D1F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5B0A74BAD92407980000594B67D1F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92CF" w14:textId="423937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272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7298">
          <w:rPr>
            <w:sz w:val="22"/>
            <w:szCs w:val="22"/>
          </w:rPr>
          <w:t>2026R3212</w:t>
        </w:r>
      </w:sdtContent>
    </w:sdt>
  </w:p>
  <w:p w14:paraId="5377FB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1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F1"/>
    <w:rsid w:val="0000526A"/>
    <w:rsid w:val="000573A9"/>
    <w:rsid w:val="00073436"/>
    <w:rsid w:val="00085D22"/>
    <w:rsid w:val="00093AB0"/>
    <w:rsid w:val="000C5C77"/>
    <w:rsid w:val="000E3912"/>
    <w:rsid w:val="0010070F"/>
    <w:rsid w:val="00127298"/>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5118B"/>
    <w:rsid w:val="00464F8C"/>
    <w:rsid w:val="004A7DA1"/>
    <w:rsid w:val="004C13DD"/>
    <w:rsid w:val="004D3ABE"/>
    <w:rsid w:val="004E3441"/>
    <w:rsid w:val="00500579"/>
    <w:rsid w:val="0057009B"/>
    <w:rsid w:val="00572702"/>
    <w:rsid w:val="005A5366"/>
    <w:rsid w:val="00602C17"/>
    <w:rsid w:val="00611EF1"/>
    <w:rsid w:val="006369EB"/>
    <w:rsid w:val="00637E73"/>
    <w:rsid w:val="0068102D"/>
    <w:rsid w:val="006865E9"/>
    <w:rsid w:val="00686E9A"/>
    <w:rsid w:val="00691F3E"/>
    <w:rsid w:val="00694BFB"/>
    <w:rsid w:val="006A106B"/>
    <w:rsid w:val="006B013D"/>
    <w:rsid w:val="006C523D"/>
    <w:rsid w:val="006D4036"/>
    <w:rsid w:val="00766AD0"/>
    <w:rsid w:val="007A5259"/>
    <w:rsid w:val="007A7081"/>
    <w:rsid w:val="007F1CF5"/>
    <w:rsid w:val="00834EDE"/>
    <w:rsid w:val="008736AA"/>
    <w:rsid w:val="008D275D"/>
    <w:rsid w:val="00946186"/>
    <w:rsid w:val="00980327"/>
    <w:rsid w:val="00986478"/>
    <w:rsid w:val="009B2E34"/>
    <w:rsid w:val="009B5557"/>
    <w:rsid w:val="009B6E14"/>
    <w:rsid w:val="009F1067"/>
    <w:rsid w:val="00A31E01"/>
    <w:rsid w:val="00A527AD"/>
    <w:rsid w:val="00A707EC"/>
    <w:rsid w:val="00A718CF"/>
    <w:rsid w:val="00A7779B"/>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219F"/>
    <w:rsid w:val="00C85096"/>
    <w:rsid w:val="00CB20EF"/>
    <w:rsid w:val="00CC1F3B"/>
    <w:rsid w:val="00CD12CB"/>
    <w:rsid w:val="00CD36CF"/>
    <w:rsid w:val="00CF1DCA"/>
    <w:rsid w:val="00D579FC"/>
    <w:rsid w:val="00D81C16"/>
    <w:rsid w:val="00DE526B"/>
    <w:rsid w:val="00DF199D"/>
    <w:rsid w:val="00E01542"/>
    <w:rsid w:val="00E33535"/>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EF6F"/>
  <w15:chartTrackingRefBased/>
  <w15:docId w15:val="{121DF974-96CB-4679-A115-CA06B834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1EF1"/>
    <w:rPr>
      <w:rFonts w:eastAsia="Calibri"/>
      <w:b/>
      <w:caps/>
      <w:color w:val="000000"/>
      <w:sz w:val="24"/>
    </w:rPr>
  </w:style>
  <w:style w:type="character" w:customStyle="1" w:styleId="SectionBodyChar">
    <w:name w:val="Section Body Char"/>
    <w:link w:val="SectionBody"/>
    <w:rsid w:val="00611EF1"/>
    <w:rPr>
      <w:rFonts w:eastAsia="Calibri"/>
      <w:color w:val="000000"/>
    </w:rPr>
  </w:style>
  <w:style w:type="character" w:customStyle="1" w:styleId="SectionHeadingChar">
    <w:name w:val="Section Heading Char"/>
    <w:link w:val="SectionHeading"/>
    <w:rsid w:val="00611EF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57864DB6A46879762A1510F163B50"/>
        <w:category>
          <w:name w:val="General"/>
          <w:gallery w:val="placeholder"/>
        </w:category>
        <w:types>
          <w:type w:val="bbPlcHdr"/>
        </w:types>
        <w:behaviors>
          <w:behavior w:val="content"/>
        </w:behaviors>
        <w:guid w:val="{3603B951-8A6F-4CB8-9E68-E60CDB49D0C1}"/>
      </w:docPartPr>
      <w:docPartBody>
        <w:p w:rsidR="00B02850" w:rsidRDefault="00B02850">
          <w:pPr>
            <w:pStyle w:val="A3857864DB6A46879762A1510F163B50"/>
          </w:pPr>
          <w:r w:rsidRPr="00B844FE">
            <w:t>Prefix Text</w:t>
          </w:r>
        </w:p>
      </w:docPartBody>
    </w:docPart>
    <w:docPart>
      <w:docPartPr>
        <w:name w:val="B5B0A74BAD92407980000594B67D1FC1"/>
        <w:category>
          <w:name w:val="General"/>
          <w:gallery w:val="placeholder"/>
        </w:category>
        <w:types>
          <w:type w:val="bbPlcHdr"/>
        </w:types>
        <w:behaviors>
          <w:behavior w:val="content"/>
        </w:behaviors>
        <w:guid w:val="{0AE63AC3-82C8-462F-9CD3-DE465DB3FE58}"/>
      </w:docPartPr>
      <w:docPartBody>
        <w:p w:rsidR="00B02850" w:rsidRDefault="00B02850">
          <w:pPr>
            <w:pStyle w:val="B5B0A74BAD92407980000594B67D1FC1"/>
          </w:pPr>
          <w:r w:rsidRPr="00B844FE">
            <w:t>[Type here]</w:t>
          </w:r>
        </w:p>
      </w:docPartBody>
    </w:docPart>
    <w:docPart>
      <w:docPartPr>
        <w:name w:val="94452FD2B70D4547B54C6D4D6D3F188B"/>
        <w:category>
          <w:name w:val="General"/>
          <w:gallery w:val="placeholder"/>
        </w:category>
        <w:types>
          <w:type w:val="bbPlcHdr"/>
        </w:types>
        <w:behaviors>
          <w:behavior w:val="content"/>
        </w:behaviors>
        <w:guid w:val="{6751BD18-4594-49CB-8549-0C976A24EE1A}"/>
      </w:docPartPr>
      <w:docPartBody>
        <w:p w:rsidR="00B02850" w:rsidRDefault="00B02850">
          <w:pPr>
            <w:pStyle w:val="94452FD2B70D4547B54C6D4D6D3F188B"/>
          </w:pPr>
          <w:r w:rsidRPr="00B844FE">
            <w:t>Number</w:t>
          </w:r>
        </w:p>
      </w:docPartBody>
    </w:docPart>
    <w:docPart>
      <w:docPartPr>
        <w:name w:val="A6486362D99947FFB5B257B7D1DD8CF7"/>
        <w:category>
          <w:name w:val="General"/>
          <w:gallery w:val="placeholder"/>
        </w:category>
        <w:types>
          <w:type w:val="bbPlcHdr"/>
        </w:types>
        <w:behaviors>
          <w:behavior w:val="content"/>
        </w:behaviors>
        <w:guid w:val="{4B1F9AF9-A578-4761-9353-F5CC4060DDF0}"/>
      </w:docPartPr>
      <w:docPartBody>
        <w:p w:rsidR="00B02850" w:rsidRDefault="00B02850">
          <w:pPr>
            <w:pStyle w:val="A6486362D99947FFB5B257B7D1DD8CF7"/>
          </w:pPr>
          <w:r w:rsidRPr="00B844FE">
            <w:t>Enter Sponsors Here</w:t>
          </w:r>
        </w:p>
      </w:docPartBody>
    </w:docPart>
    <w:docPart>
      <w:docPartPr>
        <w:name w:val="378481CC59F0413A80B78BDAA88FE4E4"/>
        <w:category>
          <w:name w:val="General"/>
          <w:gallery w:val="placeholder"/>
        </w:category>
        <w:types>
          <w:type w:val="bbPlcHdr"/>
        </w:types>
        <w:behaviors>
          <w:behavior w:val="content"/>
        </w:behaviors>
        <w:guid w:val="{BDF39717-D356-4252-A277-DBCBA535F0B1}"/>
      </w:docPartPr>
      <w:docPartBody>
        <w:p w:rsidR="00B02850" w:rsidRDefault="00B02850">
          <w:pPr>
            <w:pStyle w:val="378481CC59F0413A80B78BDAA88FE4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50"/>
    <w:rsid w:val="00073436"/>
    <w:rsid w:val="004A7DA1"/>
    <w:rsid w:val="0057009B"/>
    <w:rsid w:val="00602C17"/>
    <w:rsid w:val="009B2E34"/>
    <w:rsid w:val="009B6E14"/>
    <w:rsid w:val="00B02850"/>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857864DB6A46879762A1510F163B50">
    <w:name w:val="A3857864DB6A46879762A1510F163B50"/>
  </w:style>
  <w:style w:type="paragraph" w:customStyle="1" w:styleId="B5B0A74BAD92407980000594B67D1FC1">
    <w:name w:val="B5B0A74BAD92407980000594B67D1FC1"/>
  </w:style>
  <w:style w:type="paragraph" w:customStyle="1" w:styleId="94452FD2B70D4547B54C6D4D6D3F188B">
    <w:name w:val="94452FD2B70D4547B54C6D4D6D3F188B"/>
  </w:style>
  <w:style w:type="paragraph" w:customStyle="1" w:styleId="A6486362D99947FFB5B257B7D1DD8CF7">
    <w:name w:val="A6486362D99947FFB5B257B7D1DD8CF7"/>
  </w:style>
  <w:style w:type="character" w:styleId="PlaceholderText">
    <w:name w:val="Placeholder Text"/>
    <w:basedOn w:val="DefaultParagraphFont"/>
    <w:uiPriority w:val="99"/>
    <w:semiHidden/>
    <w:rPr>
      <w:color w:val="808080"/>
    </w:rPr>
  </w:style>
  <w:style w:type="paragraph" w:customStyle="1" w:styleId="378481CC59F0413A80B78BDAA88FE4E4">
    <w:name w:val="378481CC59F0413A80B78BDAA88FE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599</Words>
  <Characters>3214</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2026-01-21T22:11:00Z</dcterms:created>
  <dcterms:modified xsi:type="dcterms:W3CDTF">2026-01-21T22:11:00Z</dcterms:modified>
</cp:coreProperties>
</file>