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004D18C" w:rsidR="00CD36CF" w:rsidRDefault="00CD36CF" w:rsidP="00CC1F3B">
      <w:pPr>
        <w:pStyle w:val="TitlePageSession"/>
      </w:pPr>
      <w:r>
        <w:t>20</w:t>
      </w:r>
      <w:r w:rsidR="00EC5E63">
        <w:t>2</w:t>
      </w:r>
      <w:r w:rsidR="008F5542">
        <w:t>6</w:t>
      </w:r>
      <w:r>
        <w:t xml:space="preserve"> </w:t>
      </w:r>
      <w:r w:rsidR="003C6034">
        <w:rPr>
          <w:caps w:val="0"/>
        </w:rPr>
        <w:t>REGULAR SESSION</w:t>
      </w:r>
    </w:p>
    <w:p w14:paraId="174FC623" w14:textId="77777777" w:rsidR="00CD36CF" w:rsidRDefault="00370042"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204D2E64" w:rsidR="00CD36CF" w:rsidRDefault="00370042"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90709">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144CF3">
            <w:t>4792</w:t>
          </w:r>
        </w:sdtContent>
      </w:sdt>
    </w:p>
    <w:p w14:paraId="098BD000" w14:textId="0E58BAD3"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C90709">
            <w:t>Delegate Criss</w:t>
          </w:r>
          <w:r w:rsidR="00711418">
            <w:br/>
            <w:t xml:space="preserve">[By Request of the West Virginia </w:t>
          </w:r>
          <w:r w:rsidR="000E127C">
            <w:t>Division of Financial Institutions]</w:t>
          </w:r>
        </w:sdtContent>
      </w:sdt>
    </w:p>
    <w:p w14:paraId="53B73CCE" w14:textId="39C93841" w:rsidR="00E831B3" w:rsidRDefault="00CD36CF" w:rsidP="00C90709">
      <w:pPr>
        <w:pStyle w:val="References"/>
      </w:pPr>
      <w:r>
        <w:t>[</w:t>
      </w:r>
      <w:sdt>
        <w:sdtPr>
          <w:tag w:val="References"/>
          <w:id w:val="-1043047873"/>
          <w:placeholder>
            <w:docPart w:val="3E845E15F8F94BF68D1FF5580CB79694"/>
          </w:placeholder>
          <w:text w:multiLine="1"/>
        </w:sdtPr>
        <w:sdtEndPr/>
        <w:sdtContent>
          <w:r w:rsidR="00144CF3">
            <w:t>Introduced January 23, 2026; referred to the Committee on Finance</w:t>
          </w:r>
        </w:sdtContent>
      </w:sdt>
      <w:r>
        <w:t>]</w:t>
      </w:r>
    </w:p>
    <w:p w14:paraId="37A49C81" w14:textId="7358ED99" w:rsidR="00303684" w:rsidRDefault="0000526A" w:rsidP="00CC1F3B">
      <w:pPr>
        <w:pStyle w:val="TitleSection"/>
      </w:pPr>
      <w:r>
        <w:lastRenderedPageBreak/>
        <w:t>A BILL</w:t>
      </w:r>
      <w:r w:rsidR="006D366A">
        <w:t xml:space="preserve"> to amend and reenact </w:t>
      </w:r>
      <w:r w:rsidR="00635ECF">
        <w:t>§31-</w:t>
      </w:r>
      <w:r w:rsidR="00D95920">
        <w:t>17-</w:t>
      </w:r>
      <w:r w:rsidR="00C00FE6">
        <w:t>9</w:t>
      </w:r>
      <w:r w:rsidR="00635ECF">
        <w:t xml:space="preserve"> of the Code of West Virginia, 1931, as amended</w:t>
      </w:r>
      <w:r w:rsidR="008F5542">
        <w:t xml:space="preserve">, </w:t>
      </w:r>
      <w:r w:rsidR="00373D29" w:rsidRPr="00C423ED">
        <w:rPr>
          <w:rFonts w:cs="Arial"/>
          <w:color w:val="auto"/>
        </w:rPr>
        <w:t xml:space="preserve">relating to </w:t>
      </w:r>
      <w:r w:rsidR="003856A0">
        <w:rPr>
          <w:rFonts w:cs="Arial"/>
          <w:color w:val="auto"/>
        </w:rPr>
        <w:t xml:space="preserve">requirements for </w:t>
      </w:r>
      <w:r w:rsidR="00C00FE6">
        <w:rPr>
          <w:rFonts w:cs="Arial"/>
          <w:color w:val="auto"/>
        </w:rPr>
        <w:t>disclosures and recordkeeping</w:t>
      </w:r>
      <w:r w:rsidR="00AA2085">
        <w:rPr>
          <w:rFonts w:cs="Arial"/>
          <w:color w:val="auto"/>
        </w:rPr>
        <w:t xml:space="preserve">, reinforcing state law regarding late fees, and </w:t>
      </w:r>
      <w:r w:rsidR="00C00FE6">
        <w:rPr>
          <w:rFonts w:cs="Arial"/>
          <w:color w:val="auto"/>
        </w:rPr>
        <w:t>clarifying that a state</w:t>
      </w:r>
      <w:r w:rsidR="00AA2085">
        <w:rPr>
          <w:rFonts w:cs="Arial"/>
          <w:color w:val="auto"/>
        </w:rPr>
        <w:t>-</w:t>
      </w:r>
      <w:r w:rsidR="00C00FE6">
        <w:rPr>
          <w:rFonts w:cs="Arial"/>
          <w:color w:val="auto"/>
        </w:rPr>
        <w:t>specific closing disclosure is not required as long as federal closing disclosures are given accurately.</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7D52A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EFDE77" w14:textId="348390AD" w:rsidR="00911891" w:rsidRDefault="00911891" w:rsidP="00911891">
      <w:pPr>
        <w:pStyle w:val="ArticleHeading"/>
        <w:sectPr w:rsidR="00911891" w:rsidSect="007D52A2">
          <w:type w:val="continuous"/>
          <w:pgSz w:w="12240" w:h="15840"/>
          <w:pgMar w:top="1440" w:right="1440" w:bottom="1440" w:left="1440" w:header="1440" w:footer="1440" w:gutter="0"/>
          <w:cols w:space="720"/>
          <w:noEndnote/>
        </w:sectPr>
      </w:pPr>
      <w:r>
        <w:t xml:space="preserve">ARTICLE </w:t>
      </w:r>
      <w:r w:rsidR="0087786A">
        <w:t>17.  WEST VIRGINIA RESIDENTIAL MORTGAGE LENDER, BROKER AND SERVICER ACT.</w:t>
      </w:r>
    </w:p>
    <w:p w14:paraId="5EF88305" w14:textId="77777777" w:rsidR="00C00FE6" w:rsidRPr="00C00FE6" w:rsidRDefault="00911891" w:rsidP="00C00FE6">
      <w:pPr>
        <w:widowControl w:val="0"/>
        <w:suppressLineNumbers/>
        <w:ind w:left="720" w:hanging="720"/>
        <w:jc w:val="both"/>
        <w:rPr>
          <w:rFonts w:eastAsia="Calibri" w:cs="Times New Roman"/>
          <w:b/>
          <w:bCs/>
          <w:color w:val="000000"/>
        </w:rPr>
      </w:pPr>
      <w:r w:rsidRPr="00911891">
        <w:rPr>
          <w:rFonts w:eastAsia="Calibri" w:cs="Times New Roman"/>
          <w:b/>
          <w:color w:val="000000"/>
        </w:rPr>
        <w:t>§</w:t>
      </w:r>
      <w:r w:rsidR="00C00FE6" w:rsidRPr="00C00FE6">
        <w:rPr>
          <w:rFonts w:eastAsia="Calibri" w:cs="Times New Roman"/>
          <w:b/>
          <w:bCs/>
          <w:color w:val="000000"/>
        </w:rPr>
        <w:t>31-17-9. Disclosure; closing statements; other records required; record-keeping requirements.</w:t>
      </w:r>
    </w:p>
    <w:p w14:paraId="65F5CB4D"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(a) Any licensee or person making on his or her own behalf, or as agent, broker or in other representative capacity on behalf of any other person, a primary or subordinate mortgage loan shall at the time of the closing furnish to the borrower a complete and itemized closing statement which shall show in detail:</w:t>
      </w:r>
    </w:p>
    <w:p w14:paraId="21854462"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(1) The amount and date of the note or primary and subordinate mortgage loan contract and the date of maturity;</w:t>
      </w:r>
    </w:p>
    <w:p w14:paraId="109D1D4D"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(2) The nature of the security;</w:t>
      </w:r>
    </w:p>
    <w:p w14:paraId="7679C133"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(3) The finance charge rate per annum and the itemized amount of finance charges and additional charges;</w:t>
      </w:r>
    </w:p>
    <w:p w14:paraId="37F5C481"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(4) The principal and total of payments;</w:t>
      </w:r>
    </w:p>
    <w:p w14:paraId="6A804FD1"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(5) Disposition of the principal;</w:t>
      </w:r>
    </w:p>
    <w:p w14:paraId="578305A7"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(6) A description of the payment schedule;</w:t>
      </w:r>
    </w:p>
    <w:p w14:paraId="587CB3C1"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(7) The terms on which additional advances, if any, will be made;</w:t>
      </w:r>
    </w:p>
    <w:p w14:paraId="4308D605" w14:textId="41248B92"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(8) The charge to be imposed for past-due installments</w:t>
      </w:r>
      <w:r w:rsidR="002F329B">
        <w:rPr>
          <w:rFonts w:eastAsia="Calibri" w:cs="Times New Roman"/>
          <w:color w:val="000000"/>
          <w:u w:val="single"/>
        </w:rPr>
        <w:t>, including the late payment penalty maximum</w:t>
      </w:r>
      <w:r w:rsidRPr="00C00FE6">
        <w:rPr>
          <w:rFonts w:eastAsia="Calibri" w:cs="Times New Roman"/>
          <w:color w:val="000000"/>
        </w:rPr>
        <w:t>;</w:t>
      </w:r>
    </w:p>
    <w:p w14:paraId="45074EAA"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(9) A description and the cost of insurance required by the lender or purchased by the </w:t>
      </w:r>
      <w:r w:rsidRPr="00C00FE6">
        <w:rPr>
          <w:rFonts w:eastAsia="Calibri" w:cs="Times New Roman"/>
          <w:color w:val="000000"/>
        </w:rPr>
        <w:lastRenderedPageBreak/>
        <w:t>borrower in connection with the primary or subordinate mortgage loan;</w:t>
      </w:r>
    </w:p>
    <w:p w14:paraId="4461A939"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(10) The name and address of the borrower and of the lender; and</w:t>
      </w:r>
    </w:p>
    <w:p w14:paraId="71A5C4E6"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(11) That the borrower may prepay the primary or subordinate mortgage loan, in whole or in part, on any installment date and that the borrower will receive a rebate in full for any unearned finance charge.</w:t>
      </w:r>
    </w:p>
    <w:p w14:paraId="7F7F998C" w14:textId="654BE38E"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Such detailed closing statement shall be signed by the broker, lender or closing representative</w:t>
      </w:r>
      <w:r w:rsidR="00ED72CA">
        <w:rPr>
          <w:rFonts w:eastAsia="Calibri" w:cs="Times New Roman"/>
          <w:color w:val="000000"/>
          <w:u w:val="single"/>
        </w:rPr>
        <w:t>, and the borrower(s)</w:t>
      </w:r>
      <w:r w:rsidR="00ED72CA" w:rsidRPr="00C90709">
        <w:rPr>
          <w:rFonts w:eastAsia="Calibri" w:cs="Times New Roman"/>
          <w:color w:val="000000"/>
        </w:rPr>
        <w:t xml:space="preserve"> </w:t>
      </w:r>
      <w:r w:rsidRPr="00C00FE6">
        <w:rPr>
          <w:rFonts w:eastAsia="Calibri" w:cs="Times New Roman"/>
          <w:color w:val="000000"/>
        </w:rPr>
        <w:t xml:space="preserve">and a completed and signed copy thereof is retained by the broker or lender and made available at all reasonable times to the borrower, the borrower's successor in interest to the residential property or the authorized agent of the borrower or the borrower's successor, until the time as the indebtedness is satisfied in full. Providing </w:t>
      </w:r>
      <w:r w:rsidRPr="00C00FE6">
        <w:rPr>
          <w:rFonts w:eastAsia="Calibri" w:cs="Times New Roman"/>
          <w:strike/>
          <w:color w:val="000000"/>
        </w:rPr>
        <w:t>a HUD 1 or HUD 1A settlement statement</w:t>
      </w:r>
      <w:r w:rsidRPr="00C00FE6">
        <w:rPr>
          <w:rFonts w:eastAsia="Calibri" w:cs="Times New Roman"/>
          <w:color w:val="000000"/>
        </w:rPr>
        <w:t xml:space="preserve"> </w:t>
      </w:r>
      <w:r>
        <w:rPr>
          <w:rFonts w:eastAsia="Calibri" w:cs="Times New Roman"/>
          <w:color w:val="000000"/>
          <w:u w:val="single"/>
        </w:rPr>
        <w:t xml:space="preserve">the Closing Disclosure required by </w:t>
      </w:r>
      <w:r w:rsidR="001B583A">
        <w:rPr>
          <w:rFonts w:eastAsia="Calibri" w:cs="Times New Roman"/>
          <w:color w:val="000000"/>
          <w:u w:val="single"/>
        </w:rPr>
        <w:t xml:space="preserve">the </w:t>
      </w:r>
      <w:r w:rsidR="00AA2085">
        <w:rPr>
          <w:rFonts w:eastAsia="Calibri" w:cs="Times New Roman"/>
          <w:color w:val="000000"/>
          <w:u w:val="single"/>
        </w:rPr>
        <w:t>Truth-In-Lending</w:t>
      </w:r>
      <w:r w:rsidR="00395896">
        <w:rPr>
          <w:rFonts w:eastAsia="Calibri" w:cs="Times New Roman"/>
          <w:color w:val="000000"/>
          <w:u w:val="single"/>
        </w:rPr>
        <w:t xml:space="preserve"> Act</w:t>
      </w:r>
      <w:r w:rsidR="00AA2085">
        <w:rPr>
          <w:rFonts w:eastAsia="Calibri" w:cs="Times New Roman"/>
          <w:color w:val="000000"/>
          <w:u w:val="single"/>
        </w:rPr>
        <w:t xml:space="preserve"> (T</w:t>
      </w:r>
      <w:r w:rsidR="001B583A">
        <w:rPr>
          <w:rFonts w:eastAsia="Calibri" w:cs="Times New Roman"/>
          <w:color w:val="000000"/>
          <w:u w:val="single"/>
        </w:rPr>
        <w:t>ILA</w:t>
      </w:r>
      <w:r w:rsidR="00AA2085">
        <w:rPr>
          <w:rFonts w:eastAsia="Calibri" w:cs="Times New Roman"/>
          <w:color w:val="000000"/>
          <w:u w:val="single"/>
        </w:rPr>
        <w:t>)</w:t>
      </w:r>
      <w:r w:rsidR="001B583A">
        <w:rPr>
          <w:rFonts w:eastAsia="Calibri" w:cs="Times New Roman"/>
          <w:color w:val="000000"/>
          <w:u w:val="single"/>
        </w:rPr>
        <w:t>-</w:t>
      </w:r>
      <w:r w:rsidR="00AA2085">
        <w:rPr>
          <w:rFonts w:eastAsia="Calibri" w:cs="Times New Roman"/>
          <w:color w:val="000000"/>
          <w:u w:val="single"/>
        </w:rPr>
        <w:t>Real Estate Settlement Procedures Act (</w:t>
      </w:r>
      <w:r w:rsidR="001B583A">
        <w:rPr>
          <w:rFonts w:eastAsia="Calibri" w:cs="Times New Roman"/>
          <w:color w:val="000000"/>
          <w:u w:val="single"/>
        </w:rPr>
        <w:t>RESPA</w:t>
      </w:r>
      <w:r w:rsidR="00AA2085">
        <w:rPr>
          <w:rFonts w:eastAsia="Calibri" w:cs="Times New Roman"/>
          <w:color w:val="000000"/>
          <w:u w:val="single"/>
        </w:rPr>
        <w:t>)</w:t>
      </w:r>
      <w:r w:rsidR="001B583A">
        <w:rPr>
          <w:rFonts w:eastAsia="Calibri" w:cs="Times New Roman"/>
          <w:color w:val="000000"/>
          <w:u w:val="single"/>
        </w:rPr>
        <w:t xml:space="preserve"> Integrated Disclosure (TRID) Rules</w:t>
      </w:r>
      <w:r w:rsidR="002F329B">
        <w:rPr>
          <w:rFonts w:eastAsia="Calibri" w:cs="Times New Roman"/>
          <w:color w:val="000000"/>
          <w:u w:val="single"/>
        </w:rPr>
        <w:t xml:space="preserve"> or applicable federal closing disclosure</w:t>
      </w:r>
      <w:r w:rsidRPr="00C00FE6">
        <w:rPr>
          <w:rFonts w:eastAsia="Calibri" w:cs="Times New Roman"/>
          <w:color w:val="000000"/>
        </w:rPr>
        <w:t xml:space="preserve"> that </w:t>
      </w:r>
      <w:r w:rsidRPr="00BD4491">
        <w:rPr>
          <w:rFonts w:eastAsia="Calibri" w:cs="Times New Roman"/>
          <w:color w:val="000000"/>
        </w:rPr>
        <w:t>provides</w:t>
      </w:r>
      <w:r w:rsidRPr="00C00FE6">
        <w:rPr>
          <w:rFonts w:eastAsia="Calibri" w:cs="Times New Roman"/>
          <w:color w:val="000000"/>
        </w:rPr>
        <w:t xml:space="preserve"> the </w:t>
      </w:r>
      <w:r w:rsidRPr="00C00FE6">
        <w:rPr>
          <w:rFonts w:eastAsia="Calibri" w:cs="Times New Roman"/>
          <w:strike/>
          <w:color w:val="000000"/>
        </w:rPr>
        <w:t>disclosures</w:t>
      </w:r>
      <w:r w:rsidRPr="00C00FE6">
        <w:rPr>
          <w:rFonts w:eastAsia="Calibri" w:cs="Times New Roman"/>
          <w:color w:val="000000"/>
        </w:rPr>
        <w:t xml:space="preserve"> </w:t>
      </w:r>
      <w:r w:rsidRPr="00C00FE6">
        <w:rPr>
          <w:rFonts w:eastAsia="Calibri" w:cs="Times New Roman"/>
          <w:color w:val="000000"/>
          <w:u w:val="single"/>
        </w:rPr>
        <w:t>loan details</w:t>
      </w:r>
      <w:r>
        <w:rPr>
          <w:rFonts w:eastAsia="Calibri" w:cs="Times New Roman"/>
          <w:color w:val="000000"/>
        </w:rPr>
        <w:t xml:space="preserve"> </w:t>
      </w:r>
      <w:r w:rsidRPr="00C00FE6">
        <w:rPr>
          <w:rFonts w:eastAsia="Calibri" w:cs="Times New Roman"/>
          <w:color w:val="000000"/>
        </w:rPr>
        <w:t>required by this subsection</w:t>
      </w:r>
      <w:r w:rsidR="00BD4491" w:rsidRPr="00BD4491">
        <w:rPr>
          <w:rFonts w:eastAsia="Calibri" w:cs="Times New Roman"/>
          <w:color w:val="000000"/>
          <w:u w:val="single"/>
        </w:rPr>
        <w:t>,</w:t>
      </w:r>
      <w:r w:rsidRPr="00BD4491">
        <w:rPr>
          <w:rFonts w:eastAsia="Calibri" w:cs="Times New Roman"/>
          <w:color w:val="000000"/>
          <w:u w:val="single"/>
        </w:rPr>
        <w:t xml:space="preserve"> </w:t>
      </w:r>
      <w:r w:rsidR="00BD4491" w:rsidRPr="00BD4491">
        <w:rPr>
          <w:rFonts w:eastAsia="Calibri" w:cs="Times New Roman"/>
          <w:color w:val="000000"/>
          <w:u w:val="single"/>
        </w:rPr>
        <w:t xml:space="preserve">including </w:t>
      </w:r>
      <w:r w:rsidR="00BD4491">
        <w:rPr>
          <w:rFonts w:eastAsia="Calibri" w:cs="Times New Roman"/>
          <w:color w:val="000000"/>
          <w:u w:val="single"/>
        </w:rPr>
        <w:t xml:space="preserve">the late payment penalty language set forth by </w:t>
      </w:r>
      <w:r w:rsidR="00BD4491" w:rsidRPr="000F7F7D">
        <w:rPr>
          <w:rFonts w:eastAsia="Calibri" w:cs="Times New Roman"/>
          <w:bCs/>
          <w:color w:val="000000"/>
          <w:u w:val="single"/>
        </w:rPr>
        <w:t>§</w:t>
      </w:r>
      <w:r w:rsidR="00BD4491" w:rsidRPr="000F7F7D">
        <w:rPr>
          <w:rFonts w:eastAsia="Calibri" w:cs="Times New Roman"/>
          <w:color w:val="000000"/>
          <w:u w:val="single"/>
        </w:rPr>
        <w:t xml:space="preserve">46A-3-112 and </w:t>
      </w:r>
      <w:r w:rsidR="00AA2085">
        <w:rPr>
          <w:rFonts w:eastAsia="Calibri" w:cs="Times New Roman"/>
          <w:color w:val="000000"/>
          <w:u w:val="single"/>
        </w:rPr>
        <w:t>§46A-3-</w:t>
      </w:r>
      <w:r w:rsidR="00BD4491" w:rsidRPr="000F7F7D">
        <w:rPr>
          <w:rFonts w:eastAsia="Calibri" w:cs="Times New Roman"/>
          <w:color w:val="000000"/>
          <w:u w:val="single"/>
        </w:rPr>
        <w:t>113</w:t>
      </w:r>
      <w:r w:rsidR="00BD4491">
        <w:rPr>
          <w:rFonts w:eastAsia="Calibri" w:cs="Times New Roman"/>
          <w:color w:val="000000"/>
          <w:u w:val="single"/>
        </w:rPr>
        <w:t xml:space="preserve"> of this code,</w:t>
      </w:r>
      <w:r w:rsidR="00BD4491" w:rsidRPr="00C90709">
        <w:rPr>
          <w:rFonts w:eastAsia="Calibri" w:cs="Times New Roman"/>
          <w:color w:val="000000"/>
        </w:rPr>
        <w:t xml:space="preserve"> </w:t>
      </w:r>
      <w:r w:rsidRPr="00C00FE6">
        <w:rPr>
          <w:rFonts w:eastAsia="Calibri" w:cs="Times New Roman"/>
          <w:strike/>
          <w:color w:val="000000"/>
        </w:rPr>
        <w:t>and the residential mortgage disclosures required by federal law</w:t>
      </w:r>
      <w:r w:rsidRPr="00C00FE6">
        <w:rPr>
          <w:rFonts w:eastAsia="Calibri" w:cs="Times New Roman"/>
          <w:color w:val="000000"/>
        </w:rPr>
        <w:t xml:space="preserve"> is considered to meet the requirements of this subsection</w:t>
      </w:r>
      <w:r w:rsidR="001B583A" w:rsidRPr="00C90709">
        <w:rPr>
          <w:rFonts w:eastAsia="Calibri" w:cs="Times New Roman"/>
          <w:color w:val="000000"/>
        </w:rPr>
        <w:t xml:space="preserve">.  </w:t>
      </w:r>
      <w:r w:rsidR="00BD4491">
        <w:rPr>
          <w:rFonts w:eastAsia="Calibri" w:cs="Times New Roman"/>
          <w:color w:val="000000"/>
          <w:u w:val="single"/>
        </w:rPr>
        <w:t>A</w:t>
      </w:r>
      <w:r>
        <w:rPr>
          <w:rFonts w:eastAsia="Calibri" w:cs="Times New Roman"/>
          <w:color w:val="000000"/>
          <w:u w:val="single"/>
        </w:rPr>
        <w:t xml:space="preserve"> separate state</w:t>
      </w:r>
      <w:r w:rsidR="00BD4491">
        <w:rPr>
          <w:rFonts w:eastAsia="Calibri" w:cs="Times New Roman"/>
          <w:color w:val="000000"/>
          <w:u w:val="single"/>
        </w:rPr>
        <w:t xml:space="preserve">-specific closing </w:t>
      </w:r>
      <w:r>
        <w:rPr>
          <w:rFonts w:eastAsia="Calibri" w:cs="Times New Roman"/>
          <w:color w:val="000000"/>
          <w:u w:val="single"/>
        </w:rPr>
        <w:t>disclosure is not required</w:t>
      </w:r>
      <w:r w:rsidR="00156AED">
        <w:rPr>
          <w:rFonts w:eastAsia="Calibri" w:cs="Times New Roman"/>
          <w:color w:val="000000"/>
          <w:u w:val="single"/>
        </w:rPr>
        <w:t xml:space="preserve"> </w:t>
      </w:r>
      <w:r w:rsidR="002E07B8">
        <w:rPr>
          <w:rFonts w:eastAsia="Calibri" w:cs="Times New Roman"/>
          <w:color w:val="000000"/>
          <w:u w:val="single"/>
        </w:rPr>
        <w:t>if</w:t>
      </w:r>
      <w:r w:rsidR="00156AED" w:rsidRPr="00A40277">
        <w:rPr>
          <w:rFonts w:eastAsia="Calibri" w:cs="Times New Roman"/>
          <w:color w:val="000000"/>
          <w:u w:val="single"/>
        </w:rPr>
        <w:t xml:space="preserve"> all required information is contained in the federal Closing Disclosure</w:t>
      </w:r>
      <w:r w:rsidRPr="00A40277">
        <w:rPr>
          <w:rFonts w:eastAsia="Calibri" w:cs="Times New Roman"/>
          <w:color w:val="000000"/>
        </w:rPr>
        <w:t>.</w:t>
      </w:r>
    </w:p>
    <w:p w14:paraId="5D328293"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The commissioner may, from time to time, by rules prescribe additional information to be included in a closing statement.</w:t>
      </w:r>
    </w:p>
    <w:p w14:paraId="75C81ED6" w14:textId="3B68BD78"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(b) Upon written request from the borrower, the holder of a primary or subordinate mortgage loan instrument shall deliver to the borrower, within </w:t>
      </w:r>
      <w:r w:rsidR="00D93A28">
        <w:rPr>
          <w:rFonts w:eastAsia="Calibri" w:cs="Times New Roman"/>
          <w:color w:val="000000"/>
        </w:rPr>
        <w:t>10</w:t>
      </w:r>
      <w:r w:rsidRPr="00C00FE6">
        <w:rPr>
          <w:rFonts w:eastAsia="Calibri" w:cs="Times New Roman"/>
          <w:color w:val="000000"/>
        </w:rPr>
        <w:t xml:space="preserve"> business days from and after receipt of the written request, a statement of the borrower's account as required by </w:t>
      </w:r>
      <w:r>
        <w:rPr>
          <w:rFonts w:eastAsia="Calibri" w:cs="Times New Roman"/>
          <w:color w:val="000000"/>
        </w:rPr>
        <w:t>§46A-2-114</w:t>
      </w:r>
      <w:r w:rsidRPr="00C00FE6">
        <w:rPr>
          <w:rFonts w:eastAsia="Calibri" w:cs="Times New Roman"/>
          <w:color w:val="000000"/>
        </w:rPr>
        <w:t xml:space="preserve"> of this code.</w:t>
      </w:r>
    </w:p>
    <w:p w14:paraId="1953E4FE" w14:textId="46919109"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(c) Upon satisfaction of a primary or subordinate mortgage loan obligation in full, the holder of the instrument evidencing or securing the obligation shall comply with the requirements of </w:t>
      </w:r>
      <w:r>
        <w:rPr>
          <w:rFonts w:eastAsia="Calibri" w:cs="Times New Roman"/>
          <w:color w:val="000000"/>
        </w:rPr>
        <w:t>§38-12-1</w:t>
      </w:r>
      <w:r w:rsidRPr="00C00FE6">
        <w:rPr>
          <w:rFonts w:eastAsia="Calibri" w:cs="Times New Roman"/>
          <w:color w:val="000000"/>
        </w:rPr>
        <w:t xml:space="preserve"> of this code in the prompt release of the lien which had secured the primary or subordinate </w:t>
      </w:r>
      <w:r w:rsidRPr="00C00FE6">
        <w:rPr>
          <w:rFonts w:eastAsia="Calibri" w:cs="Times New Roman"/>
          <w:color w:val="000000"/>
        </w:rPr>
        <w:lastRenderedPageBreak/>
        <w:t>mortgage loan obligation.</w:t>
      </w:r>
    </w:p>
    <w:p w14:paraId="42849175"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(d) Upon written request or authorization from the borrower, the holder of a primary or subordinate mortgage loan instrument shall send or otherwise provide to the borrower or his or her designee, within three business days after receipt of the written request or authorization, a payoff statement of the borrower's account. Except as provided by this subsection, no charge may be made for providing the payoff statement. Charges for the actual expenses associated with using a third-party courier delivery or expedited mail delivery service may be assessed when this type of delivery is requested and authorized by the borrower following disclosure to the borrower of its cost. The payoff information is provided by mail, telephone, courier, facsimile or other transmission as requested by the borrower or his or her designee.</w:t>
      </w:r>
    </w:p>
    <w:p w14:paraId="72CCFD48" w14:textId="6B70EF7C"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(e) A licensee shall keep and maintain for </w:t>
      </w:r>
      <w:r>
        <w:rPr>
          <w:rFonts w:eastAsia="Calibri" w:cs="Times New Roman"/>
          <w:color w:val="000000"/>
        </w:rPr>
        <w:t>36</w:t>
      </w:r>
      <w:r w:rsidRPr="00C00FE6">
        <w:rPr>
          <w:rFonts w:eastAsia="Calibri" w:cs="Times New Roman"/>
          <w:color w:val="000000"/>
        </w:rPr>
        <w:t xml:space="preserve"> months after the date of final entry the business records regarding residential mortgage loans applied for, brokered, originated or serviced in the course of its business.</w:t>
      </w:r>
    </w:p>
    <w:p w14:paraId="1EF1C247" w14:textId="77777777" w:rsidR="00C33014" w:rsidRDefault="00C33014" w:rsidP="00CC1F3B">
      <w:pPr>
        <w:pStyle w:val="Note"/>
      </w:pPr>
    </w:p>
    <w:p w14:paraId="3BB6F16A" w14:textId="2076C1F1" w:rsidR="006865E9" w:rsidRDefault="00CF1DCA" w:rsidP="00CC1F3B">
      <w:pPr>
        <w:pStyle w:val="Note"/>
      </w:pPr>
      <w:r w:rsidRPr="00423A38">
        <w:t xml:space="preserve">NOTE: </w:t>
      </w:r>
      <w:r w:rsidR="00346ACE">
        <w:rPr>
          <w:rFonts w:cs="Arial"/>
          <w:szCs w:val="20"/>
        </w:rPr>
        <w:t xml:space="preserve">The purpose of this bill is </w:t>
      </w:r>
      <w:r w:rsidR="00D93A28">
        <w:rPr>
          <w:rFonts w:cs="Arial"/>
          <w:szCs w:val="20"/>
        </w:rPr>
        <w:t>to clarify that a separate state closing disclosure is not required if appropriate federal closing disclosures are provided to borrowers.</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52A2">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A445" w14:textId="77777777" w:rsidR="000931A4" w:rsidRPr="00B844FE" w:rsidRDefault="000931A4" w:rsidP="00B844FE">
      <w:r>
        <w:separator/>
      </w:r>
    </w:p>
  </w:endnote>
  <w:endnote w:type="continuationSeparator" w:id="0">
    <w:p w14:paraId="3528B120" w14:textId="77777777" w:rsidR="000931A4" w:rsidRPr="00B844FE" w:rsidRDefault="000931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E510" w14:textId="77777777" w:rsidR="00C90709" w:rsidRDefault="00C90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86232"/>
      <w:docPartObj>
        <w:docPartGallery w:val="Page Numbers (Bottom of Page)"/>
        <w:docPartUnique/>
      </w:docPartObj>
    </w:sdtPr>
    <w:sdtEndPr>
      <w:rPr>
        <w:noProof/>
      </w:rPr>
    </w:sdtEndPr>
    <w:sdtContent>
      <w:p w14:paraId="4E64C7F1" w14:textId="4E54C1B7" w:rsidR="00756601" w:rsidRDefault="007566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80EA" w14:textId="77777777" w:rsidR="000931A4" w:rsidRPr="00B844FE" w:rsidRDefault="000931A4" w:rsidP="00B844FE">
      <w:r>
        <w:separator/>
      </w:r>
    </w:p>
  </w:footnote>
  <w:footnote w:type="continuationSeparator" w:id="0">
    <w:p w14:paraId="5083CF14" w14:textId="77777777" w:rsidR="000931A4" w:rsidRPr="00B844FE" w:rsidRDefault="000931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370042">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1AA54C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9070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0709">
          <w:rPr>
            <w:sz w:val="22"/>
            <w:szCs w:val="22"/>
          </w:rPr>
          <w:t>2026R3296</w:t>
        </w:r>
        <w:r w:rsidR="00756601">
          <w:rPr>
            <w:sz w:val="22"/>
            <w:szCs w:val="22"/>
          </w:rPr>
          <w:t>H  2026R3290S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AD6"/>
    <w:rsid w:val="000573A9"/>
    <w:rsid w:val="00083967"/>
    <w:rsid w:val="00085D22"/>
    <w:rsid w:val="000931A4"/>
    <w:rsid w:val="000C5C77"/>
    <w:rsid w:val="000D0B34"/>
    <w:rsid w:val="000E127C"/>
    <w:rsid w:val="000E3912"/>
    <w:rsid w:val="0010070F"/>
    <w:rsid w:val="00106D03"/>
    <w:rsid w:val="00112925"/>
    <w:rsid w:val="001156FC"/>
    <w:rsid w:val="00144CF3"/>
    <w:rsid w:val="0015112E"/>
    <w:rsid w:val="00152F24"/>
    <w:rsid w:val="001552E7"/>
    <w:rsid w:val="001566B4"/>
    <w:rsid w:val="00156AED"/>
    <w:rsid w:val="001668B5"/>
    <w:rsid w:val="00194266"/>
    <w:rsid w:val="001A66B7"/>
    <w:rsid w:val="001B583A"/>
    <w:rsid w:val="001C279E"/>
    <w:rsid w:val="001C4012"/>
    <w:rsid w:val="001D21DD"/>
    <w:rsid w:val="001D459E"/>
    <w:rsid w:val="001D4716"/>
    <w:rsid w:val="001F4095"/>
    <w:rsid w:val="0022348D"/>
    <w:rsid w:val="00231E51"/>
    <w:rsid w:val="00255F25"/>
    <w:rsid w:val="0027011C"/>
    <w:rsid w:val="00274200"/>
    <w:rsid w:val="00275740"/>
    <w:rsid w:val="00280C55"/>
    <w:rsid w:val="0029460F"/>
    <w:rsid w:val="00294EEB"/>
    <w:rsid w:val="002A0269"/>
    <w:rsid w:val="002A1CA3"/>
    <w:rsid w:val="002A5775"/>
    <w:rsid w:val="002E07B8"/>
    <w:rsid w:val="002F329B"/>
    <w:rsid w:val="00303684"/>
    <w:rsid w:val="003143F5"/>
    <w:rsid w:val="00314854"/>
    <w:rsid w:val="0033226C"/>
    <w:rsid w:val="00344D1C"/>
    <w:rsid w:val="00346ACE"/>
    <w:rsid w:val="00370042"/>
    <w:rsid w:val="00373D29"/>
    <w:rsid w:val="003856A0"/>
    <w:rsid w:val="00394191"/>
    <w:rsid w:val="00395896"/>
    <w:rsid w:val="003A1D21"/>
    <w:rsid w:val="003C51CD"/>
    <w:rsid w:val="003C6034"/>
    <w:rsid w:val="003C755F"/>
    <w:rsid w:val="003E37AB"/>
    <w:rsid w:val="00400B5C"/>
    <w:rsid w:val="00423A38"/>
    <w:rsid w:val="004368E0"/>
    <w:rsid w:val="00440C28"/>
    <w:rsid w:val="00465B5F"/>
    <w:rsid w:val="0047485C"/>
    <w:rsid w:val="004B6510"/>
    <w:rsid w:val="004C13DD"/>
    <w:rsid w:val="004D3ABE"/>
    <w:rsid w:val="004E3441"/>
    <w:rsid w:val="00500579"/>
    <w:rsid w:val="00567FE6"/>
    <w:rsid w:val="00576835"/>
    <w:rsid w:val="005A5366"/>
    <w:rsid w:val="005C4106"/>
    <w:rsid w:val="005E7875"/>
    <w:rsid w:val="005F5F2D"/>
    <w:rsid w:val="00635ECF"/>
    <w:rsid w:val="006369EB"/>
    <w:rsid w:val="00637E73"/>
    <w:rsid w:val="00660394"/>
    <w:rsid w:val="0066384B"/>
    <w:rsid w:val="006865E9"/>
    <w:rsid w:val="00686E9A"/>
    <w:rsid w:val="006878CC"/>
    <w:rsid w:val="00687F69"/>
    <w:rsid w:val="00691F3E"/>
    <w:rsid w:val="00694BFB"/>
    <w:rsid w:val="006963F4"/>
    <w:rsid w:val="006A106B"/>
    <w:rsid w:val="006C523D"/>
    <w:rsid w:val="006D366A"/>
    <w:rsid w:val="006D4036"/>
    <w:rsid w:val="006D6A5F"/>
    <w:rsid w:val="006F5DF4"/>
    <w:rsid w:val="00711418"/>
    <w:rsid w:val="007147FA"/>
    <w:rsid w:val="007158A6"/>
    <w:rsid w:val="007260D5"/>
    <w:rsid w:val="00730F81"/>
    <w:rsid w:val="00756601"/>
    <w:rsid w:val="007963AD"/>
    <w:rsid w:val="007A5259"/>
    <w:rsid w:val="007A7081"/>
    <w:rsid w:val="007A7483"/>
    <w:rsid w:val="007C602F"/>
    <w:rsid w:val="007D52A2"/>
    <w:rsid w:val="007E2197"/>
    <w:rsid w:val="007F1CF5"/>
    <w:rsid w:val="00814535"/>
    <w:rsid w:val="00834EDE"/>
    <w:rsid w:val="00861FA6"/>
    <w:rsid w:val="008736AA"/>
    <w:rsid w:val="0087786A"/>
    <w:rsid w:val="00881E31"/>
    <w:rsid w:val="0088574D"/>
    <w:rsid w:val="008C77B7"/>
    <w:rsid w:val="008D275D"/>
    <w:rsid w:val="008E2BD8"/>
    <w:rsid w:val="008F5542"/>
    <w:rsid w:val="00911891"/>
    <w:rsid w:val="00931D5D"/>
    <w:rsid w:val="0094441D"/>
    <w:rsid w:val="00972BB5"/>
    <w:rsid w:val="00980327"/>
    <w:rsid w:val="00986478"/>
    <w:rsid w:val="009B1434"/>
    <w:rsid w:val="009B5557"/>
    <w:rsid w:val="009C6D3D"/>
    <w:rsid w:val="009F1067"/>
    <w:rsid w:val="009F2346"/>
    <w:rsid w:val="009F5256"/>
    <w:rsid w:val="009F5B7C"/>
    <w:rsid w:val="00A041C1"/>
    <w:rsid w:val="00A1329A"/>
    <w:rsid w:val="00A15EC6"/>
    <w:rsid w:val="00A25C30"/>
    <w:rsid w:val="00A31E01"/>
    <w:rsid w:val="00A34114"/>
    <w:rsid w:val="00A40277"/>
    <w:rsid w:val="00A527AD"/>
    <w:rsid w:val="00A57C32"/>
    <w:rsid w:val="00A66A66"/>
    <w:rsid w:val="00A718CF"/>
    <w:rsid w:val="00A72FC0"/>
    <w:rsid w:val="00AA2085"/>
    <w:rsid w:val="00AB55E2"/>
    <w:rsid w:val="00AE48A0"/>
    <w:rsid w:val="00AE61BE"/>
    <w:rsid w:val="00AE6D4D"/>
    <w:rsid w:val="00B13AA3"/>
    <w:rsid w:val="00B16ED3"/>
    <w:rsid w:val="00B16F25"/>
    <w:rsid w:val="00B24422"/>
    <w:rsid w:val="00B5444F"/>
    <w:rsid w:val="00B667B9"/>
    <w:rsid w:val="00B66B81"/>
    <w:rsid w:val="00B80C20"/>
    <w:rsid w:val="00B844FE"/>
    <w:rsid w:val="00B86B4F"/>
    <w:rsid w:val="00BA1F84"/>
    <w:rsid w:val="00BC1EF0"/>
    <w:rsid w:val="00BC562B"/>
    <w:rsid w:val="00BD4491"/>
    <w:rsid w:val="00BD706D"/>
    <w:rsid w:val="00C00FE6"/>
    <w:rsid w:val="00C33014"/>
    <w:rsid w:val="00C33434"/>
    <w:rsid w:val="00C34869"/>
    <w:rsid w:val="00C42EB6"/>
    <w:rsid w:val="00C85096"/>
    <w:rsid w:val="00C90709"/>
    <w:rsid w:val="00CB20EF"/>
    <w:rsid w:val="00CB4F0E"/>
    <w:rsid w:val="00CC1F3B"/>
    <w:rsid w:val="00CC2763"/>
    <w:rsid w:val="00CD12CB"/>
    <w:rsid w:val="00CD36CF"/>
    <w:rsid w:val="00CF1DCA"/>
    <w:rsid w:val="00D21B14"/>
    <w:rsid w:val="00D27B28"/>
    <w:rsid w:val="00D27FCB"/>
    <w:rsid w:val="00D37F50"/>
    <w:rsid w:val="00D4584C"/>
    <w:rsid w:val="00D579FC"/>
    <w:rsid w:val="00D81C16"/>
    <w:rsid w:val="00D93A28"/>
    <w:rsid w:val="00D95920"/>
    <w:rsid w:val="00DB0CE7"/>
    <w:rsid w:val="00DE1B1C"/>
    <w:rsid w:val="00DE526B"/>
    <w:rsid w:val="00DF199D"/>
    <w:rsid w:val="00E01542"/>
    <w:rsid w:val="00E22B38"/>
    <w:rsid w:val="00E3004F"/>
    <w:rsid w:val="00E365F1"/>
    <w:rsid w:val="00E410E4"/>
    <w:rsid w:val="00E45DB9"/>
    <w:rsid w:val="00E6170C"/>
    <w:rsid w:val="00E62F48"/>
    <w:rsid w:val="00E831B3"/>
    <w:rsid w:val="00E8451C"/>
    <w:rsid w:val="00E95FBC"/>
    <w:rsid w:val="00EA49DF"/>
    <w:rsid w:val="00EC5E63"/>
    <w:rsid w:val="00ED72CA"/>
    <w:rsid w:val="00EE70CB"/>
    <w:rsid w:val="00F12429"/>
    <w:rsid w:val="00F14D33"/>
    <w:rsid w:val="00F17523"/>
    <w:rsid w:val="00F2238C"/>
    <w:rsid w:val="00F245CB"/>
    <w:rsid w:val="00F41CA2"/>
    <w:rsid w:val="00F443C0"/>
    <w:rsid w:val="00F52DC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0D0B34"/>
    <w:rsid w:val="00106D03"/>
    <w:rsid w:val="001A05ED"/>
    <w:rsid w:val="001D21DD"/>
    <w:rsid w:val="00205B84"/>
    <w:rsid w:val="00270DF3"/>
    <w:rsid w:val="00280C55"/>
    <w:rsid w:val="002A5775"/>
    <w:rsid w:val="003924DB"/>
    <w:rsid w:val="004B6510"/>
    <w:rsid w:val="005321C7"/>
    <w:rsid w:val="00576835"/>
    <w:rsid w:val="006C4794"/>
    <w:rsid w:val="007068A0"/>
    <w:rsid w:val="007C602F"/>
    <w:rsid w:val="0081037F"/>
    <w:rsid w:val="00881E31"/>
    <w:rsid w:val="008920BA"/>
    <w:rsid w:val="008B6101"/>
    <w:rsid w:val="008C77B7"/>
    <w:rsid w:val="009468DA"/>
    <w:rsid w:val="009B1434"/>
    <w:rsid w:val="00A1329A"/>
    <w:rsid w:val="00A66A66"/>
    <w:rsid w:val="00AE6D4D"/>
    <w:rsid w:val="00BB5AB6"/>
    <w:rsid w:val="00BF4230"/>
    <w:rsid w:val="00D21B14"/>
    <w:rsid w:val="00F12429"/>
    <w:rsid w:val="00F52DCF"/>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4436</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2024-01-17T13:56:00Z</cp:lastPrinted>
  <dcterms:created xsi:type="dcterms:W3CDTF">2026-01-22T22:36:00Z</dcterms:created>
  <dcterms:modified xsi:type="dcterms:W3CDTF">2026-01-28T20:03:00Z</dcterms:modified>
</cp:coreProperties>
</file>