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BC5B09"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2679E818" w:rsidR="00CD36CF" w:rsidRDefault="00BC5B09"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5584</w:t>
          </w:r>
        </w:sdtContent>
      </w:sdt>
    </w:p>
    <w:p w14:paraId="3AE774F5" w14:textId="1E66CFA1"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342A5A">
            <w:t>Delegate</w:t>
          </w:r>
          <w:r w:rsidR="000760F6">
            <w:t>s</w:t>
          </w:r>
          <w:r w:rsidR="00342A5A">
            <w:t xml:space="preserve"> Hamilton</w:t>
          </w:r>
          <w:r w:rsidR="000760F6">
            <w:t>, Hornbuckle, Lewis, and Williams</w:t>
          </w:r>
        </w:sdtContent>
      </w:sdt>
    </w:p>
    <w:p w14:paraId="5C7EBBE3" w14:textId="2A9A4494" w:rsidR="00E831B3" w:rsidRDefault="00CD36CF" w:rsidP="00CC1F3B">
      <w:pPr>
        <w:pStyle w:val="References"/>
      </w:pPr>
      <w:r>
        <w:t>[</w:t>
      </w:r>
      <w:sdt>
        <w:sdtPr>
          <w:tag w:val="References"/>
          <w:id w:val="-1043047873"/>
          <w:placeholder>
            <w:docPart w:val="D6628D4B71A745BBA64FC80DEBF4F7F9"/>
          </w:placeholder>
          <w:text w:multiLine="1"/>
        </w:sdtPr>
        <w:sdtEndPr/>
        <w:sdtContent>
          <w:r w:rsidR="00BC5B09">
            <w:t>Introduced February 16, 2026; referred to the Committee on Education</w:t>
          </w:r>
        </w:sdtContent>
      </w:sdt>
      <w:r>
        <w:t>]</w:t>
      </w:r>
    </w:p>
    <w:p w14:paraId="04FAC7FD" w14:textId="5B0134CB" w:rsidR="00303684" w:rsidRDefault="0000526A" w:rsidP="00CC1F3B">
      <w:pPr>
        <w:pStyle w:val="TitleSection"/>
      </w:pPr>
      <w:r>
        <w:lastRenderedPageBreak/>
        <w:t>A BILL</w:t>
      </w:r>
      <w:r w:rsidR="0011797A">
        <w:t xml:space="preserve"> to amend and reenact §18A-4-8e of the Code of West Virginia, 1931, as amended, relating to require county school boards to provide one day in-service training to prepare county employees for annual competency tests.</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11797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F8DC8D" w14:textId="77777777" w:rsidR="0011797A" w:rsidRDefault="0011797A" w:rsidP="009B6EAD">
      <w:pPr>
        <w:pStyle w:val="ArticleHeading"/>
        <w:sectPr w:rsidR="0011797A" w:rsidSect="0011797A">
          <w:type w:val="continuous"/>
          <w:pgSz w:w="12240" w:h="15840" w:code="1"/>
          <w:pgMar w:top="1440" w:right="1440" w:bottom="1440" w:left="1440" w:header="720" w:footer="720" w:gutter="0"/>
          <w:lnNumType w:countBy="1" w:restart="newSection"/>
          <w:cols w:space="720"/>
          <w:titlePg/>
          <w:docGrid w:linePitch="360"/>
        </w:sectPr>
      </w:pPr>
      <w:r>
        <w:t>ARTICLE 4. SALARIES, WAGES AND OTHER BENEFITS.</w:t>
      </w:r>
    </w:p>
    <w:p w14:paraId="286076A2" w14:textId="77777777" w:rsidR="00F726D4" w:rsidRDefault="00F726D4" w:rsidP="006764F7">
      <w:pPr>
        <w:suppressLineNumbers/>
        <w:ind w:left="720" w:hanging="720"/>
        <w:jc w:val="both"/>
        <w:outlineLvl w:val="3"/>
        <w:rPr>
          <w:rFonts w:cs="Arial"/>
          <w:b/>
        </w:rPr>
      </w:pPr>
      <w:r>
        <w:rPr>
          <w:rFonts w:cs="Arial"/>
          <w:b/>
        </w:rPr>
        <w:t>§18A-4-8e. Competency testing for service personnel; and recertification testing for bus operators.</w:t>
      </w:r>
    </w:p>
    <w:p w14:paraId="17B3FCE5" w14:textId="77777777" w:rsidR="00F726D4" w:rsidRDefault="00F726D4" w:rsidP="004C11B5">
      <w:pPr>
        <w:ind w:left="720" w:hanging="720"/>
        <w:jc w:val="both"/>
        <w:outlineLvl w:val="3"/>
        <w:rPr>
          <w:rFonts w:cs="Arial"/>
          <w:b/>
        </w:rPr>
        <w:sectPr w:rsidR="00F726D4" w:rsidSect="0011797A">
          <w:type w:val="continuous"/>
          <w:pgSz w:w="12240" w:h="15840" w:code="1"/>
          <w:pgMar w:top="1440" w:right="1440" w:bottom="1440" w:left="1440" w:header="720" w:footer="720" w:gutter="0"/>
          <w:lnNumType w:countBy="1" w:restart="newSection"/>
          <w:cols w:space="720"/>
          <w:titlePg/>
          <w:docGrid w:linePitch="360"/>
        </w:sectPr>
      </w:pPr>
    </w:p>
    <w:p w14:paraId="6EF9A113" w14:textId="77777777" w:rsidR="00F726D4" w:rsidRDefault="00F726D4" w:rsidP="004C11B5">
      <w:pPr>
        <w:ind w:firstLine="720"/>
        <w:jc w:val="both"/>
        <w:rPr>
          <w:rFonts w:cs="Arial"/>
        </w:rPr>
      </w:pPr>
      <w:r>
        <w:rPr>
          <w:rFonts w:cs="Arial"/>
        </w:rPr>
        <w:t>(a) The state board shall develop and make available competency tests for all of the classification titles defined in section eight of this article and listed in section eight-a of this article for service personnel. The board shall review and, if needed, update the competency tests at least every five years. Each classification title defined and listed is considered a separate classification category of employment for service personnel and has a separate competency test, except for those class titles having Roman numeral designations, which are considered a single classification of employment and have a single competency test.</w:t>
      </w:r>
    </w:p>
    <w:p w14:paraId="79A54578" w14:textId="77777777" w:rsidR="00F726D4" w:rsidRDefault="00F726D4" w:rsidP="004C11B5">
      <w:pPr>
        <w:ind w:firstLine="720"/>
        <w:jc w:val="both"/>
        <w:rPr>
          <w:rFonts w:cs="Arial"/>
        </w:rPr>
      </w:pPr>
      <w:r>
        <w:rPr>
          <w:rFonts w:cs="Arial"/>
        </w:rPr>
        <w:t>(1) The cafeteria manager class title is included in the same classification category as cooks and has the same competency test.</w:t>
      </w:r>
    </w:p>
    <w:p w14:paraId="5466F844" w14:textId="77777777" w:rsidR="00F726D4" w:rsidRDefault="00F726D4" w:rsidP="004C11B5">
      <w:pPr>
        <w:ind w:firstLine="720"/>
        <w:jc w:val="both"/>
        <w:rPr>
          <w:rFonts w:cs="Arial"/>
        </w:rPr>
      </w:pPr>
      <w:r>
        <w:rPr>
          <w:rFonts w:cs="Arial"/>
        </w:rPr>
        <w:t>(2) The executive secretary class title is included in the same classification category as secretaries and has the same competency test.</w:t>
      </w:r>
    </w:p>
    <w:p w14:paraId="0D4F234B" w14:textId="77777777" w:rsidR="00F726D4" w:rsidRDefault="00F726D4" w:rsidP="004C11B5">
      <w:pPr>
        <w:ind w:firstLine="720"/>
        <w:jc w:val="both"/>
        <w:rPr>
          <w:rFonts w:cs="Arial"/>
        </w:rPr>
      </w:pPr>
      <w:r>
        <w:rPr>
          <w:rFonts w:cs="Arial"/>
        </w:rPr>
        <w:t>(3) The classification titles of chief mechanic, mechanic and assistant mechanic are included in one classification title and have the same competency test.</w:t>
      </w:r>
    </w:p>
    <w:p w14:paraId="3009BEE0" w14:textId="77777777" w:rsidR="00F726D4" w:rsidRDefault="00F726D4" w:rsidP="004C11B5">
      <w:pPr>
        <w:ind w:firstLine="720"/>
        <w:jc w:val="both"/>
        <w:rPr>
          <w:rFonts w:cs="Arial"/>
        </w:rPr>
      </w:pPr>
      <w:r>
        <w:rPr>
          <w:rFonts w:cs="Arial"/>
        </w:rPr>
        <w:t>(b) The purpose of these tests is to provide county boards a uniform means of determining whether school service personnel who do not hold a classification title in a particular category of employment meet the definition of the classification title in another category of employment as defined in section eight of this article. Competency tests may not be used to evaluate employees who hold the classification title in the category of their employment.</w:t>
      </w:r>
    </w:p>
    <w:p w14:paraId="00EC6DEC" w14:textId="77777777" w:rsidR="00F726D4" w:rsidRDefault="00F726D4" w:rsidP="004C11B5">
      <w:pPr>
        <w:ind w:firstLine="720"/>
        <w:jc w:val="both"/>
        <w:rPr>
          <w:rFonts w:cs="Arial"/>
        </w:rPr>
      </w:pPr>
      <w:r>
        <w:rPr>
          <w:rFonts w:cs="Arial"/>
        </w:rPr>
        <w:lastRenderedPageBreak/>
        <w:t>(c) The competency test consists of an objective written or performance test, or both. Applicants may take the written test orally if requested. Oral tests are recorded mechanically and kept on file. The oral test is administered by persons who do not know the applicant personally.</w:t>
      </w:r>
    </w:p>
    <w:p w14:paraId="0941A259" w14:textId="77777777" w:rsidR="00F726D4" w:rsidRDefault="00F726D4" w:rsidP="004C11B5">
      <w:pPr>
        <w:ind w:firstLine="720"/>
        <w:jc w:val="both"/>
        <w:rPr>
          <w:rFonts w:cs="Arial"/>
        </w:rPr>
      </w:pPr>
      <w:r>
        <w:rPr>
          <w:rFonts w:cs="Arial"/>
        </w:rPr>
        <w:t>(1) The performance test for all classifications and categories other than bus operator is administered by an employee of the county board or an employee of a multicounty vocational school that serves the county at a location designated by the superintendent and approved by the board. The location may be a vocational school that serves the county.</w:t>
      </w:r>
    </w:p>
    <w:p w14:paraId="35FDD8DF" w14:textId="77777777" w:rsidR="00F726D4" w:rsidRDefault="00F726D4" w:rsidP="004C11B5">
      <w:pPr>
        <w:ind w:firstLine="720"/>
        <w:jc w:val="both"/>
        <w:rPr>
          <w:rFonts w:cs="Arial"/>
        </w:rPr>
      </w:pPr>
      <w:r>
        <w:rPr>
          <w:rFonts w:cs="Arial"/>
        </w:rPr>
        <w:t>(2) A standard passing score is established by the state Department of Education for each test and is used by county boards.</w:t>
      </w:r>
    </w:p>
    <w:p w14:paraId="6675AC41" w14:textId="77777777" w:rsidR="00F726D4" w:rsidRDefault="00F726D4" w:rsidP="004C11B5">
      <w:pPr>
        <w:ind w:firstLine="720"/>
        <w:jc w:val="both"/>
        <w:rPr>
          <w:rFonts w:cs="Arial"/>
        </w:rPr>
      </w:pPr>
      <w:r>
        <w:rPr>
          <w:rFonts w:cs="Arial"/>
        </w:rPr>
        <w:t>(3) The subject matter of each competency test is commensurate with the requirements of the definitions of the classification titles as provided in section eight of this article. The subject matter of each competency test is designed in such a manner that achieving a passing grade does not require knowledge and skill in excess of the requirements of the definitions of the classification titles. Achieving a passing score conclusively demonstrates the qualification of an applicant for a classification title.</w:t>
      </w:r>
    </w:p>
    <w:p w14:paraId="4B5E157A" w14:textId="77777777" w:rsidR="00F726D4" w:rsidRDefault="00F726D4" w:rsidP="004C11B5">
      <w:pPr>
        <w:ind w:firstLine="720"/>
        <w:jc w:val="both"/>
        <w:rPr>
          <w:rFonts w:cs="Arial"/>
        </w:rPr>
      </w:pPr>
      <w:r>
        <w:rPr>
          <w:rFonts w:cs="Arial"/>
        </w:rPr>
        <w:t>(4) Once an employee passes the competency test of a classification title, the applicant is fully qualified to fill vacancies in that classification category of employment as provided in section eight-b of this article and may not be required to take the competency test again.</w:t>
      </w:r>
    </w:p>
    <w:p w14:paraId="736AB751" w14:textId="77777777" w:rsidR="00F726D4" w:rsidRDefault="00F726D4" w:rsidP="004C11B5">
      <w:pPr>
        <w:ind w:firstLine="720"/>
        <w:jc w:val="both"/>
        <w:rPr>
          <w:rFonts w:cs="Arial"/>
        </w:rPr>
      </w:pPr>
      <w:r>
        <w:rPr>
          <w:rFonts w:cs="Arial"/>
        </w:rPr>
        <w:t>(d) An applicant who fails to achieve a passing score is given other opportunities to pass the competency test when applying for another vacancy within the classification category.</w:t>
      </w:r>
    </w:p>
    <w:p w14:paraId="6007A200" w14:textId="0370FB2B" w:rsidR="00F726D4" w:rsidRDefault="00F726D4" w:rsidP="004C11B5">
      <w:pPr>
        <w:ind w:firstLine="720"/>
        <w:jc w:val="both"/>
        <w:rPr>
          <w:rFonts w:cs="Arial"/>
        </w:rPr>
      </w:pPr>
      <w:r>
        <w:rPr>
          <w:rFonts w:cs="Arial"/>
        </w:rPr>
        <w:t xml:space="preserve">(e) Competency tests are administered to applicants in a uniform manner under uniform testing conditions. County boards are responsible for scheduling competency tests, notifying applicants of the date and time of the </w:t>
      </w:r>
      <w:r>
        <w:rPr>
          <w:rFonts w:cs="Arial"/>
          <w:u w:val="single"/>
        </w:rPr>
        <w:t>one day of training prior to taking the test, and the date and time of the</w:t>
      </w:r>
      <w:r>
        <w:rPr>
          <w:rFonts w:cs="Arial"/>
        </w:rPr>
        <w:t xml:space="preserve"> test. County boards may not use a competency test other than the test authorized by this section.</w:t>
      </w:r>
    </w:p>
    <w:p w14:paraId="1FDEB258" w14:textId="77777777" w:rsidR="00F726D4" w:rsidRDefault="00F726D4" w:rsidP="004C11B5">
      <w:pPr>
        <w:ind w:firstLine="720"/>
        <w:jc w:val="both"/>
        <w:rPr>
          <w:rFonts w:cs="Arial"/>
        </w:rPr>
      </w:pPr>
      <w:r>
        <w:rPr>
          <w:rFonts w:cs="Arial"/>
        </w:rPr>
        <w:lastRenderedPageBreak/>
        <w:t>(f) When scheduling of the competency test conflicts with the work schedule of a school employee who has applied for a vacancy, the employee is excused from work to take the competency test without loss of pay. (g) Competency tests are used to determine the qualification of new applicants seeking initial employment in a particular classification title as either a regular or substitute employee.</w:t>
      </w:r>
    </w:p>
    <w:p w14:paraId="1B00B16C" w14:textId="50E8B9C5" w:rsidR="00F726D4" w:rsidRPr="00F726D4" w:rsidRDefault="00F726D4" w:rsidP="004C11B5">
      <w:pPr>
        <w:ind w:firstLine="720"/>
        <w:jc w:val="both"/>
        <w:rPr>
          <w:rFonts w:cs="Arial"/>
          <w:u w:val="single"/>
        </w:rPr>
      </w:pPr>
      <w:r>
        <w:rPr>
          <w:rFonts w:cs="Arial"/>
          <w:u w:val="single"/>
        </w:rPr>
        <w:t>(g) A minimum of one day of appropriate in-service training is provided to employees to assist them in preparing to take the competency tests.</w:t>
      </w:r>
    </w:p>
    <w:p w14:paraId="3D6C935D" w14:textId="77777777" w:rsidR="00F726D4" w:rsidRDefault="00F726D4" w:rsidP="004C11B5">
      <w:pPr>
        <w:ind w:firstLine="720"/>
        <w:jc w:val="both"/>
        <w:rPr>
          <w:rFonts w:cs="Arial"/>
        </w:rPr>
      </w:pPr>
      <w:r>
        <w:rPr>
          <w:rFonts w:cs="Arial"/>
        </w:rPr>
        <w:t>(h) Notwithstanding any provisions in this code to the contrary, once an employee holds or has held a classification title in a category of employment, that employee is considered qualified for the classification title even though that employee no longer holds that classification.</w:t>
      </w:r>
    </w:p>
    <w:p w14:paraId="095E35DF" w14:textId="77777777" w:rsidR="00F726D4" w:rsidRDefault="00F726D4" w:rsidP="004C11B5">
      <w:pPr>
        <w:ind w:firstLine="720"/>
        <w:jc w:val="both"/>
        <w:rPr>
          <w:rFonts w:cs="Arial"/>
        </w:rPr>
      </w:pPr>
      <w:r>
        <w:rPr>
          <w:rFonts w:cs="Arial"/>
        </w:rPr>
        <w:t>(i) The requirements of this section do not alter the definitions of class titles as provided in section eight of this article or the procedure and requirements of section eight-b of this article.</w:t>
      </w:r>
    </w:p>
    <w:p w14:paraId="7E4572BE" w14:textId="77777777" w:rsidR="00F726D4" w:rsidRDefault="00F726D4" w:rsidP="004C11B5">
      <w:pPr>
        <w:ind w:firstLine="720"/>
        <w:jc w:val="both"/>
        <w:rPr>
          <w:rFonts w:cs="Arial"/>
        </w:rPr>
      </w:pPr>
      <w:r>
        <w:rPr>
          <w:rFonts w:cs="Arial"/>
        </w:rPr>
        <w:t>(j) Notwithstanding any other provision of this code to the contrary and notwithstanding any rules of the school board concerning school bus operator certification, the certification test for school bus operators shall be required as follows, and school bus operators may not be required to take the certification test more frequently:</w:t>
      </w:r>
    </w:p>
    <w:p w14:paraId="494FCED8" w14:textId="77777777" w:rsidR="00F726D4" w:rsidRDefault="00F726D4" w:rsidP="004C11B5">
      <w:pPr>
        <w:ind w:firstLine="720"/>
        <w:jc w:val="both"/>
        <w:rPr>
          <w:rFonts w:cs="Arial"/>
        </w:rPr>
      </w:pPr>
      <w:r>
        <w:rPr>
          <w:rFonts w:cs="Arial"/>
        </w:rPr>
        <w:t>(1) For substitute school bus operators and for school bus operators with regular employee status but on a probationary contract, the certification test shall be administered annually;</w:t>
      </w:r>
    </w:p>
    <w:p w14:paraId="15BF1CFF" w14:textId="77777777" w:rsidR="00F726D4" w:rsidRDefault="00F726D4" w:rsidP="004C11B5">
      <w:pPr>
        <w:ind w:firstLine="720"/>
        <w:jc w:val="both"/>
        <w:rPr>
          <w:rFonts w:cs="Arial"/>
        </w:rPr>
      </w:pPr>
      <w:r>
        <w:rPr>
          <w:rFonts w:cs="Arial"/>
        </w:rPr>
        <w:t>(2) For school bus operators with regular employee status and continuing contract status, the certification test shall be administered triennially; and</w:t>
      </w:r>
    </w:p>
    <w:p w14:paraId="5FC82506" w14:textId="77777777" w:rsidR="00F726D4" w:rsidRDefault="00F726D4" w:rsidP="004C11B5">
      <w:pPr>
        <w:ind w:firstLine="720"/>
        <w:jc w:val="both"/>
        <w:rPr>
          <w:rFonts w:cs="Arial"/>
        </w:rPr>
      </w:pPr>
      <w:r>
        <w:rPr>
          <w:rFonts w:cs="Arial"/>
        </w:rPr>
        <w:t>(3) For substitute school bus operators who are retired from a county board and who at the time of retirement had ten years of experience as a regular full-time bus operator, the certification test shall be administered triennially.</w:t>
      </w:r>
    </w:p>
    <w:p w14:paraId="1C412E79" w14:textId="77777777" w:rsidR="00F726D4" w:rsidRDefault="00F726D4" w:rsidP="004C11B5">
      <w:pPr>
        <w:ind w:firstLine="720"/>
        <w:jc w:val="both"/>
        <w:rPr>
          <w:rFonts w:cs="Arial"/>
        </w:rPr>
      </w:pPr>
      <w:r>
        <w:rPr>
          <w:rFonts w:cs="Arial"/>
        </w:rPr>
        <w:t>(4) School bus operator certificate. —</w:t>
      </w:r>
    </w:p>
    <w:p w14:paraId="0BA0A2E4" w14:textId="77777777" w:rsidR="00F726D4" w:rsidRDefault="00F726D4" w:rsidP="004C11B5">
      <w:pPr>
        <w:ind w:firstLine="720"/>
        <w:jc w:val="both"/>
        <w:rPr>
          <w:rFonts w:cs="Arial"/>
        </w:rPr>
      </w:pPr>
      <w:r>
        <w:rPr>
          <w:rFonts w:cs="Arial"/>
        </w:rPr>
        <w:t>(A) A school bus operator certificate may be issued to a person who has attained the age of twenty-one, completed the required training set forth in state board rule, and met the physical requirements and other criteria to operate a school bus set forth in state board rule.</w:t>
      </w:r>
    </w:p>
    <w:p w14:paraId="2C95AA85" w14:textId="77777777" w:rsidR="00F726D4" w:rsidRDefault="00F726D4" w:rsidP="004C11B5">
      <w:pPr>
        <w:ind w:firstLine="720"/>
        <w:jc w:val="both"/>
        <w:rPr>
          <w:rFonts w:cs="Arial"/>
        </w:rPr>
      </w:pPr>
      <w:r>
        <w:rPr>
          <w:rFonts w:cs="Arial"/>
        </w:rPr>
        <w:t>(B) The state superintendent may, after ten days’ notice and upon proper evidence, revoke the certificate of any bus operator for any of the following causes:</w:t>
      </w:r>
    </w:p>
    <w:p w14:paraId="04BB71CF" w14:textId="77777777" w:rsidR="00F726D4" w:rsidRDefault="00F726D4" w:rsidP="004C11B5">
      <w:pPr>
        <w:ind w:firstLine="720"/>
        <w:jc w:val="both"/>
        <w:rPr>
          <w:rFonts w:cs="Arial"/>
        </w:rPr>
      </w:pPr>
      <w:r>
        <w:rPr>
          <w:rFonts w:cs="Arial"/>
        </w:rPr>
        <w:t>(i) Intemperance, untruthfulness, cruelty or immorality;</w:t>
      </w:r>
    </w:p>
    <w:p w14:paraId="2609BC3C" w14:textId="77777777" w:rsidR="00F726D4" w:rsidRDefault="00F726D4" w:rsidP="004C11B5">
      <w:pPr>
        <w:ind w:firstLine="720"/>
        <w:jc w:val="both"/>
        <w:rPr>
          <w:rFonts w:cs="Arial"/>
        </w:rPr>
      </w:pPr>
      <w:r>
        <w:rPr>
          <w:rFonts w:cs="Arial"/>
        </w:rPr>
        <w:t>(ii) Conviction of or guilty plea or plea of no contest to a felony charge;</w:t>
      </w:r>
    </w:p>
    <w:p w14:paraId="5E871FD0" w14:textId="77777777" w:rsidR="00F726D4" w:rsidRDefault="00F726D4" w:rsidP="004C11B5">
      <w:pPr>
        <w:ind w:firstLine="720"/>
        <w:jc w:val="both"/>
        <w:rPr>
          <w:rFonts w:cs="Arial"/>
        </w:rPr>
      </w:pPr>
      <w:r>
        <w:rPr>
          <w:rFonts w:cs="Arial"/>
        </w:rPr>
        <w:t>(iii) Conviction of or guilty plea or plea of no contest to any charge involving sexual misconduct with a minor or a student;</w:t>
      </w:r>
    </w:p>
    <w:p w14:paraId="00DC5C7D" w14:textId="77777777" w:rsidR="00F726D4" w:rsidRDefault="00F726D4" w:rsidP="004C11B5">
      <w:pPr>
        <w:ind w:firstLine="720"/>
        <w:jc w:val="both"/>
        <w:rPr>
          <w:rFonts w:cs="Arial"/>
        </w:rPr>
      </w:pPr>
      <w:r>
        <w:rPr>
          <w:rFonts w:cs="Arial"/>
        </w:rPr>
        <w:t>(iv) Just and sufficient cause for revocation as specified by state board rule; and</w:t>
      </w:r>
    </w:p>
    <w:p w14:paraId="20D4C66F" w14:textId="77777777" w:rsidR="00F726D4" w:rsidRDefault="00F726D4" w:rsidP="004C11B5">
      <w:pPr>
        <w:ind w:firstLine="720"/>
        <w:jc w:val="both"/>
        <w:rPr>
          <w:rFonts w:cs="Arial"/>
        </w:rPr>
      </w:pPr>
      <w:r>
        <w:rPr>
          <w:rFonts w:cs="Arial"/>
        </w:rPr>
        <w:t>(v) Using fraudulent, unapproved or insufficient credit to obtain the certificates.</w:t>
      </w:r>
    </w:p>
    <w:p w14:paraId="1DCD4B72" w14:textId="77777777" w:rsidR="00F726D4" w:rsidRDefault="00F726D4" w:rsidP="004C11B5">
      <w:pPr>
        <w:ind w:firstLine="720"/>
        <w:jc w:val="both"/>
        <w:rPr>
          <w:rFonts w:cs="Arial"/>
        </w:rPr>
      </w:pPr>
      <w:r>
        <w:rPr>
          <w:rFonts w:cs="Arial"/>
        </w:rPr>
        <w:t>(vi) Of the causes for certificate revocation listed in this paragraph (B), the following causes constitute grounds for revocation only if there is a rational nexus between the conduct of the bus operator and the performance of the job:</w:t>
      </w:r>
    </w:p>
    <w:p w14:paraId="67D41F74" w14:textId="77777777" w:rsidR="00F726D4" w:rsidRDefault="00F726D4" w:rsidP="004C11B5">
      <w:pPr>
        <w:ind w:firstLine="720"/>
        <w:jc w:val="both"/>
        <w:rPr>
          <w:rFonts w:cs="Arial"/>
        </w:rPr>
      </w:pPr>
      <w:r>
        <w:rPr>
          <w:rFonts w:cs="Arial"/>
        </w:rPr>
        <w:t>(I) Intemperance, untruthfulness, cruelty or immorality;</w:t>
      </w:r>
    </w:p>
    <w:p w14:paraId="4FC78ED4" w14:textId="77777777" w:rsidR="00F726D4" w:rsidRDefault="00F726D4" w:rsidP="004C11B5">
      <w:pPr>
        <w:ind w:firstLine="720"/>
        <w:jc w:val="both"/>
        <w:rPr>
          <w:rFonts w:cs="Arial"/>
        </w:rPr>
      </w:pPr>
      <w:r>
        <w:rPr>
          <w:rFonts w:cs="Arial"/>
        </w:rPr>
        <w:t>(II) Just and sufficient cause for revocation as specified by state board rule; and</w:t>
      </w:r>
    </w:p>
    <w:p w14:paraId="35BF298B" w14:textId="77777777" w:rsidR="00F726D4" w:rsidRDefault="00F726D4" w:rsidP="004C11B5">
      <w:pPr>
        <w:ind w:firstLine="720"/>
        <w:jc w:val="both"/>
        <w:rPr>
          <w:rFonts w:cs="Arial"/>
        </w:rPr>
      </w:pPr>
      <w:r>
        <w:rPr>
          <w:rFonts w:cs="Arial"/>
        </w:rPr>
        <w:t>(III) Using fraudulent, unapproved or insufficient credit to obtain the certificate.</w:t>
      </w:r>
    </w:p>
    <w:p w14:paraId="01A97AC3" w14:textId="77777777" w:rsidR="00F726D4" w:rsidRDefault="00F726D4" w:rsidP="004C11B5">
      <w:pPr>
        <w:ind w:firstLine="720"/>
        <w:jc w:val="both"/>
        <w:rPr>
          <w:rFonts w:cs="Arial"/>
        </w:rPr>
      </w:pPr>
      <w:r>
        <w:rPr>
          <w:rFonts w:cs="Arial"/>
        </w:rPr>
        <w:t xml:space="preserve">(C) The certificate shall be automatically revoked if the bus operator is convicted under §61-8D-3 or §61-8D-5 of this code or comparable statute in any other state, of any criminal offense that requires the bus operator to register as a sex offender, or of any criminal offense which has as an element the distribution of a controlled substance: </w:t>
      </w:r>
      <w:r>
        <w:rPr>
          <w:rFonts w:cs="Arial"/>
          <w:i/>
        </w:rPr>
        <w:t>Provided</w:t>
      </w:r>
      <w:r>
        <w:rPr>
          <w:rFonts w:cs="Arial"/>
        </w:rPr>
        <w:t>, That should the conviction resulting in automatic revocation pursuant to this section be overturned by any Court of this state or the United States, the bus operator’s certificate shall be reinstated unless otherwise prohibited by law.</w:t>
      </w:r>
    </w:p>
    <w:p w14:paraId="5DD74655" w14:textId="77777777" w:rsidR="00F726D4" w:rsidRDefault="00F726D4" w:rsidP="004C11B5">
      <w:pPr>
        <w:ind w:firstLine="720"/>
        <w:jc w:val="both"/>
        <w:rPr>
          <w:rFonts w:cs="Arial"/>
        </w:rPr>
      </w:pPr>
      <w:r>
        <w:rPr>
          <w:rFonts w:cs="Arial"/>
        </w:rPr>
        <w:t xml:space="preserve"> (D) The state superintendent shall designate a review panel to conduct hearings on certificate revocations or denials and make recommendations for action by the state superintendent. The state board, after consultation with employee organizations representing school service personnel, shall promulgate a rule to establish the review panel membership and composition, method of appointment, governing principles and meeting schedule.</w:t>
      </w:r>
    </w:p>
    <w:p w14:paraId="26B20D43" w14:textId="77777777" w:rsidR="00F726D4" w:rsidRDefault="00F726D4" w:rsidP="004C11B5">
      <w:pPr>
        <w:ind w:firstLine="720"/>
        <w:jc w:val="both"/>
        <w:rPr>
          <w:rFonts w:cs="Arial"/>
        </w:rPr>
      </w:pPr>
      <w:r>
        <w:rPr>
          <w:rFonts w:cs="Arial"/>
        </w:rPr>
        <w:t>(E) It is the duty of any county superintendent who knows of any acts on the part of a bus operator for which a certificate may be revoked in accordance with this section to report the same, together with all the facts and evidence, to the state superintendent for such action as in the state superintendent’s judgment may be proper.</w:t>
      </w:r>
    </w:p>
    <w:p w14:paraId="17B3953D" w14:textId="77777777" w:rsidR="00F726D4" w:rsidRDefault="00F726D4" w:rsidP="004C11B5">
      <w:pPr>
        <w:ind w:firstLine="720"/>
        <w:jc w:val="both"/>
        <w:rPr>
          <w:rFonts w:cs="Arial"/>
        </w:rPr>
      </w:pPr>
      <w:r>
        <w:rPr>
          <w:rFonts w:cs="Arial"/>
        </w:rPr>
        <w:t>(F) If a certificate has been granted through an error, oversight or misinformation, the state superintendent may recall the certificate and make such corrections as will conform to the requirements of law and state board rules.</w:t>
      </w:r>
    </w:p>
    <w:p w14:paraId="5F710D17" w14:textId="3AC939C6" w:rsidR="00F726D4" w:rsidRPr="004C11B5" w:rsidRDefault="00F726D4" w:rsidP="004C11B5">
      <w:pPr>
        <w:ind w:firstLine="720"/>
        <w:jc w:val="both"/>
        <w:rPr>
          <w:rFonts w:cs="Arial"/>
        </w:rPr>
      </w:pPr>
      <w:r>
        <w:rPr>
          <w:rFonts w:cs="Arial"/>
        </w:rPr>
        <w:t xml:space="preserve">(5) The state board shall promulgate, in accordance with </w:t>
      </w:r>
      <w:r w:rsidRPr="006764F7">
        <w:rPr>
          <w:rFonts w:cs="Arial"/>
          <w:strike/>
        </w:rPr>
        <w:t>article three-b, chapter twenty-nine-a</w:t>
      </w:r>
      <w:r>
        <w:rPr>
          <w:rFonts w:cs="Arial"/>
        </w:rPr>
        <w:t xml:space="preserve"> </w:t>
      </w:r>
      <w:r w:rsidR="006764F7" w:rsidRPr="006764F7">
        <w:rPr>
          <w:rFonts w:cs="Arial"/>
          <w:bCs/>
          <w:u w:val="single"/>
        </w:rPr>
        <w:t xml:space="preserve">§29A-3B-1 </w:t>
      </w:r>
      <w:r w:rsidR="006764F7" w:rsidRPr="006764F7">
        <w:rPr>
          <w:rFonts w:cs="Arial"/>
          <w:bCs/>
          <w:i/>
          <w:iCs/>
          <w:u w:val="single"/>
        </w:rPr>
        <w:t>et seq</w:t>
      </w:r>
      <w:r w:rsidR="006764F7" w:rsidRPr="006764F7">
        <w:rPr>
          <w:rFonts w:cs="Arial"/>
          <w:bCs/>
          <w:u w:val="single"/>
        </w:rPr>
        <w:t>.</w:t>
      </w:r>
      <w:r w:rsidR="006764F7">
        <w:rPr>
          <w:rFonts w:cs="Arial"/>
          <w:b/>
        </w:rPr>
        <w:t xml:space="preserve"> </w:t>
      </w:r>
      <w:r>
        <w:rPr>
          <w:rFonts w:cs="Arial"/>
        </w:rPr>
        <w:t xml:space="preserve">of this code, revised rules in compliance with this subsection. </w:t>
      </w:r>
    </w:p>
    <w:p w14:paraId="0F101396" w14:textId="77777777" w:rsidR="00F726D4" w:rsidRDefault="00F726D4" w:rsidP="00CC1F3B">
      <w:pPr>
        <w:pStyle w:val="SectionBody"/>
        <w:sectPr w:rsidR="00F726D4" w:rsidSect="0011797A">
          <w:type w:val="continuous"/>
          <w:pgSz w:w="12240" w:h="15840" w:code="1"/>
          <w:pgMar w:top="1440" w:right="1440" w:bottom="1440" w:left="1440" w:header="720" w:footer="720" w:gutter="0"/>
          <w:lnNumType w:countBy="1" w:restart="newSection"/>
          <w:cols w:space="720"/>
          <w:titlePg/>
          <w:docGrid w:linePitch="360"/>
        </w:sectPr>
      </w:pPr>
    </w:p>
    <w:p w14:paraId="63D4922D" w14:textId="77777777" w:rsidR="00C33014" w:rsidRDefault="00C33014" w:rsidP="00CC1F3B">
      <w:pPr>
        <w:pStyle w:val="Note"/>
      </w:pPr>
    </w:p>
    <w:p w14:paraId="6CF8BFDB" w14:textId="09AB4307" w:rsidR="006865E9" w:rsidRDefault="00CF1DCA" w:rsidP="00CC1F3B">
      <w:pPr>
        <w:pStyle w:val="Note"/>
      </w:pPr>
      <w:r>
        <w:t>NOTE: The</w:t>
      </w:r>
      <w:r w:rsidR="006865E9">
        <w:t xml:space="preserve"> purpose of this bill is to </w:t>
      </w:r>
      <w:r w:rsidR="00F726D4">
        <w:t>require county school boards to provide one day in</w:t>
      </w:r>
      <w:r w:rsidR="0011797A">
        <w:t>-s</w:t>
      </w:r>
      <w:r w:rsidR="00F726D4">
        <w:t>ervice training to prepare county employees for annual competency test</w:t>
      </w:r>
      <w:r w:rsidR="0011797A">
        <w:t>s</w:t>
      </w:r>
      <w:r w:rsidR="00F726D4">
        <w:t>.</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179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03EA" w14:textId="77777777" w:rsidR="00342A5A" w:rsidRDefault="00342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BC5B09">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337DCE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42A5A">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2A5A">
          <w:rPr>
            <w:sz w:val="22"/>
            <w:szCs w:val="22"/>
          </w:rPr>
          <w:t>2026R4097</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760F6"/>
    <w:rsid w:val="00085D22"/>
    <w:rsid w:val="00093AB0"/>
    <w:rsid w:val="000C5C77"/>
    <w:rsid w:val="000E3912"/>
    <w:rsid w:val="0010070F"/>
    <w:rsid w:val="0011797A"/>
    <w:rsid w:val="0015112E"/>
    <w:rsid w:val="001552E7"/>
    <w:rsid w:val="001566B4"/>
    <w:rsid w:val="001A66B7"/>
    <w:rsid w:val="001C279E"/>
    <w:rsid w:val="001D459E"/>
    <w:rsid w:val="0020151F"/>
    <w:rsid w:val="00211F02"/>
    <w:rsid w:val="0022348D"/>
    <w:rsid w:val="0027011C"/>
    <w:rsid w:val="00274200"/>
    <w:rsid w:val="00275740"/>
    <w:rsid w:val="002821FB"/>
    <w:rsid w:val="002A0269"/>
    <w:rsid w:val="00303684"/>
    <w:rsid w:val="003143F5"/>
    <w:rsid w:val="00314854"/>
    <w:rsid w:val="00342A5A"/>
    <w:rsid w:val="003501CF"/>
    <w:rsid w:val="00363FE1"/>
    <w:rsid w:val="00394191"/>
    <w:rsid w:val="003C51CD"/>
    <w:rsid w:val="003C6034"/>
    <w:rsid w:val="00400B5C"/>
    <w:rsid w:val="004368E0"/>
    <w:rsid w:val="004C13DD"/>
    <w:rsid w:val="004C3EE3"/>
    <w:rsid w:val="004D3ABE"/>
    <w:rsid w:val="004E3441"/>
    <w:rsid w:val="004E4BF1"/>
    <w:rsid w:val="00500579"/>
    <w:rsid w:val="00572702"/>
    <w:rsid w:val="005A5366"/>
    <w:rsid w:val="006369EB"/>
    <w:rsid w:val="00637E73"/>
    <w:rsid w:val="006764F7"/>
    <w:rsid w:val="00682E33"/>
    <w:rsid w:val="006865E9"/>
    <w:rsid w:val="00686E9A"/>
    <w:rsid w:val="00691F3E"/>
    <w:rsid w:val="00694BFB"/>
    <w:rsid w:val="006A106B"/>
    <w:rsid w:val="006C523D"/>
    <w:rsid w:val="006D4036"/>
    <w:rsid w:val="0074773B"/>
    <w:rsid w:val="00766AD0"/>
    <w:rsid w:val="007A5259"/>
    <w:rsid w:val="007A7081"/>
    <w:rsid w:val="007E5293"/>
    <w:rsid w:val="007F1CF5"/>
    <w:rsid w:val="00834EDE"/>
    <w:rsid w:val="008736AA"/>
    <w:rsid w:val="008D275D"/>
    <w:rsid w:val="00946186"/>
    <w:rsid w:val="00980327"/>
    <w:rsid w:val="00986478"/>
    <w:rsid w:val="009B5557"/>
    <w:rsid w:val="009F1067"/>
    <w:rsid w:val="00A158D0"/>
    <w:rsid w:val="00A31E01"/>
    <w:rsid w:val="00A527AD"/>
    <w:rsid w:val="00A718CF"/>
    <w:rsid w:val="00AA069B"/>
    <w:rsid w:val="00AB0027"/>
    <w:rsid w:val="00AE48A0"/>
    <w:rsid w:val="00AE61BE"/>
    <w:rsid w:val="00B0532A"/>
    <w:rsid w:val="00B16F25"/>
    <w:rsid w:val="00B24422"/>
    <w:rsid w:val="00B66B81"/>
    <w:rsid w:val="00B71E6F"/>
    <w:rsid w:val="00B80C20"/>
    <w:rsid w:val="00B844FE"/>
    <w:rsid w:val="00B86B4F"/>
    <w:rsid w:val="00BA1F84"/>
    <w:rsid w:val="00BC562B"/>
    <w:rsid w:val="00BC5B09"/>
    <w:rsid w:val="00C33014"/>
    <w:rsid w:val="00C33434"/>
    <w:rsid w:val="00C34869"/>
    <w:rsid w:val="00C42EB6"/>
    <w:rsid w:val="00C62327"/>
    <w:rsid w:val="00C85096"/>
    <w:rsid w:val="00CB20EF"/>
    <w:rsid w:val="00CC1F3B"/>
    <w:rsid w:val="00CD12CB"/>
    <w:rsid w:val="00CD36CF"/>
    <w:rsid w:val="00CF1DCA"/>
    <w:rsid w:val="00D02336"/>
    <w:rsid w:val="00D30F3E"/>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26D4"/>
    <w:rsid w:val="00F939A4"/>
    <w:rsid w:val="00FA7B09"/>
    <w:rsid w:val="00FB23D7"/>
    <w:rsid w:val="00FC75C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0D16050D-46D8-4521-8538-F1987A82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1797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343886" w:rsidRDefault="00343886">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343886" w:rsidRDefault="00343886">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343886" w:rsidRDefault="00343886">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343886" w:rsidRDefault="00343886">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343886" w:rsidRDefault="00343886">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343886"/>
    <w:rsid w:val="00363FE1"/>
    <w:rsid w:val="004C3EE3"/>
    <w:rsid w:val="004E4BF1"/>
    <w:rsid w:val="00572702"/>
    <w:rsid w:val="0063025C"/>
    <w:rsid w:val="00682E33"/>
    <w:rsid w:val="0074773B"/>
    <w:rsid w:val="00AB0027"/>
    <w:rsid w:val="00B0532A"/>
    <w:rsid w:val="00FC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2026-02-12T19:27:00Z</cp:lastPrinted>
  <dcterms:created xsi:type="dcterms:W3CDTF">2026-02-15T18:18:00Z</dcterms:created>
  <dcterms:modified xsi:type="dcterms:W3CDTF">2026-02-15T18:18:00Z</dcterms:modified>
</cp:coreProperties>
</file>