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5E6D5" w14:textId="43CE6B70" w:rsidR="00FE067E" w:rsidRDefault="003C6034" w:rsidP="00CC1F3B">
      <w:pPr>
        <w:pStyle w:val="TitlePageOrigin"/>
      </w:pPr>
      <w:r>
        <w:rPr>
          <w:caps w:val="0"/>
        </w:rPr>
        <w:t>WEST VIRGINIA LEGISLATURE</w:t>
      </w:r>
      <w:r w:rsidR="00866AEA">
        <w:rPr>
          <w:noProof/>
        </w:rPr>
        <mc:AlternateContent>
          <mc:Choice Requires="wps">
            <w:drawing>
              <wp:anchor distT="0" distB="0" distL="114300" distR="114300" simplePos="0" relativeHeight="251659264" behindDoc="0" locked="0" layoutInCell="1" allowOverlap="1" wp14:anchorId="60FC89EB" wp14:editId="231DBC92">
                <wp:simplePos x="0" y="0"/>
                <wp:positionH relativeFrom="column">
                  <wp:posOffset>6007100</wp:posOffset>
                </wp:positionH>
                <wp:positionV relativeFrom="paragraph">
                  <wp:posOffset>2260600</wp:posOffset>
                </wp:positionV>
                <wp:extent cx="635000" cy="476250"/>
                <wp:effectExtent l="0" t="0" r="12700" b="19050"/>
                <wp:wrapNone/>
                <wp:docPr id="159282736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955983D" w14:textId="6B8830EA" w:rsidR="00866AEA" w:rsidRPr="00866AEA" w:rsidRDefault="00866AEA" w:rsidP="00866AEA">
                            <w:pPr>
                              <w:spacing w:line="240" w:lineRule="auto"/>
                              <w:jc w:val="center"/>
                              <w:rPr>
                                <w:rFonts w:cs="Arial"/>
                                <w:b/>
                              </w:rPr>
                            </w:pPr>
                            <w:r w:rsidRPr="00866AE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FC89E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955983D" w14:textId="6B8830EA" w:rsidR="00866AEA" w:rsidRPr="00866AEA" w:rsidRDefault="00866AEA" w:rsidP="00866AEA">
                      <w:pPr>
                        <w:spacing w:line="240" w:lineRule="auto"/>
                        <w:jc w:val="center"/>
                        <w:rPr>
                          <w:rFonts w:cs="Arial"/>
                          <w:b/>
                        </w:rPr>
                      </w:pPr>
                      <w:r w:rsidRPr="00866AEA">
                        <w:rPr>
                          <w:rFonts w:cs="Arial"/>
                          <w:b/>
                        </w:rPr>
                        <w:t>FISCAL NOTE</w:t>
                      </w:r>
                    </w:p>
                  </w:txbxContent>
                </v:textbox>
              </v:shape>
            </w:pict>
          </mc:Fallback>
        </mc:AlternateContent>
      </w:r>
    </w:p>
    <w:p w14:paraId="11F547C2"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9CE90CE" w14:textId="77777777" w:rsidR="00CD36CF" w:rsidRDefault="00255AEA" w:rsidP="00CC1F3B">
      <w:pPr>
        <w:pStyle w:val="TitlePageBillPrefix"/>
      </w:pPr>
      <w:sdt>
        <w:sdtPr>
          <w:tag w:val="IntroDate"/>
          <w:id w:val="-1236936958"/>
          <w:placeholder>
            <w:docPart w:val="591D77160AF04604A890AF84F4DFE1CC"/>
          </w:placeholder>
          <w:text/>
        </w:sdtPr>
        <w:sdtEndPr/>
        <w:sdtContent>
          <w:r w:rsidR="00AE48A0">
            <w:t>Introduced</w:t>
          </w:r>
        </w:sdtContent>
      </w:sdt>
    </w:p>
    <w:p w14:paraId="5495F292" w14:textId="592CBC2A" w:rsidR="00CD36CF" w:rsidRDefault="00255AEA" w:rsidP="00CC1F3B">
      <w:pPr>
        <w:pStyle w:val="BillNumber"/>
      </w:pPr>
      <w:sdt>
        <w:sdtPr>
          <w:tag w:val="Chamber"/>
          <w:id w:val="893011969"/>
          <w:lock w:val="sdtLocked"/>
          <w:placeholder>
            <w:docPart w:val="4FC8EE21D42146628F3B9EBC5BAD9E7A"/>
          </w:placeholder>
          <w:dropDownList>
            <w:listItem w:displayText="House" w:value="House"/>
            <w:listItem w:displayText="Senate" w:value="Senate"/>
          </w:dropDownList>
        </w:sdtPr>
        <w:sdtEndPr/>
        <w:sdtContent>
          <w:r w:rsidR="00ED7AA9">
            <w:t>Senate</w:t>
          </w:r>
        </w:sdtContent>
      </w:sdt>
      <w:r w:rsidR="00303684">
        <w:t xml:space="preserve"> </w:t>
      </w:r>
      <w:r w:rsidR="00CD36CF">
        <w:t xml:space="preserve">Bill </w:t>
      </w:r>
      <w:sdt>
        <w:sdtPr>
          <w:tag w:val="BNum"/>
          <w:id w:val="1645317809"/>
          <w:lock w:val="sdtLocked"/>
          <w:placeholder>
            <w:docPart w:val="79E5BAC475A4474A9F477F81C1ECDF8C"/>
          </w:placeholder>
          <w:text/>
        </w:sdtPr>
        <w:sdtEndPr/>
        <w:sdtContent>
          <w:r w:rsidR="008D1D92">
            <w:t>1041</w:t>
          </w:r>
        </w:sdtContent>
      </w:sdt>
    </w:p>
    <w:p w14:paraId="1787ACAC" w14:textId="253341F9" w:rsidR="00CD36CF" w:rsidRDefault="00CD36CF" w:rsidP="00CC1F3B">
      <w:pPr>
        <w:pStyle w:val="Sponsors"/>
      </w:pPr>
      <w:r>
        <w:t xml:space="preserve">By </w:t>
      </w:r>
      <w:sdt>
        <w:sdtPr>
          <w:tag w:val="Sponsors"/>
          <w:id w:val="1589585889"/>
          <w:placeholder>
            <w:docPart w:val="066D9A612FB440F29529E4A923476B2B"/>
          </w:placeholder>
          <w:text w:multiLine="1"/>
        </w:sdtPr>
        <w:sdtEndPr/>
        <w:sdtContent>
          <w:r w:rsidR="00ED7AA9">
            <w:t>Senator</w:t>
          </w:r>
          <w:r w:rsidR="009D0170">
            <w:t>s</w:t>
          </w:r>
          <w:r w:rsidR="00ED7AA9">
            <w:t xml:space="preserve"> Rose</w:t>
          </w:r>
          <w:r w:rsidR="009D0170">
            <w:t>, Helton, M. Maynard, Rucker and Tarr</w:t>
          </w:r>
        </w:sdtContent>
      </w:sdt>
    </w:p>
    <w:p w14:paraId="4AF80FF6" w14:textId="44E459D6" w:rsidR="00E831B3" w:rsidRDefault="00CD36CF" w:rsidP="00CC1F3B">
      <w:pPr>
        <w:pStyle w:val="References"/>
      </w:pPr>
      <w:r>
        <w:t>[</w:t>
      </w:r>
      <w:sdt>
        <w:sdtPr>
          <w:tag w:val="References"/>
          <w:id w:val="-1043047873"/>
          <w:placeholder>
            <w:docPart w:val="AC95E78F39904BCF8FA4B31E5A7A8579"/>
          </w:placeholder>
          <w:text w:multiLine="1"/>
        </w:sdtPr>
        <w:sdtEndPr/>
        <w:sdtContent>
          <w:r w:rsidR="00093AB0">
            <w:t>Introduced</w:t>
          </w:r>
          <w:r w:rsidR="008D1D92">
            <w:t xml:space="preserve"> February 21, 2026</w:t>
          </w:r>
          <w:r w:rsidR="00093AB0">
            <w:t>; referred</w:t>
          </w:r>
          <w:r w:rsidR="00093AB0">
            <w:br/>
            <w:t xml:space="preserve">to the Committee on </w:t>
          </w:r>
          <w:r w:rsidR="00255AEA">
            <w:t>E</w:t>
          </w:r>
          <w:r w:rsidR="00200488">
            <w:t>nergy, Industry, and Mining; and then to the Committee on Finance</w:t>
          </w:r>
        </w:sdtContent>
      </w:sdt>
      <w:r>
        <w:t>]</w:t>
      </w:r>
    </w:p>
    <w:p w14:paraId="2989232A" w14:textId="376ECCD3" w:rsidR="00303684" w:rsidRDefault="0000526A" w:rsidP="00CC1F3B">
      <w:pPr>
        <w:pStyle w:val="TitleSection"/>
      </w:pPr>
      <w:r>
        <w:lastRenderedPageBreak/>
        <w:t>A BILL</w:t>
      </w:r>
      <w:r w:rsidR="00C33923">
        <w:t xml:space="preserve"> to amend the C</w:t>
      </w:r>
      <w:r w:rsidR="00010CF7">
        <w:t>ode of</w:t>
      </w:r>
      <w:r w:rsidR="00C33923">
        <w:t xml:space="preserve"> West Virginia, 1931, as amended, by adding a new article, designated §24-2J-1,</w:t>
      </w:r>
      <w:r w:rsidR="00C33923" w:rsidRPr="00C33923">
        <w:t xml:space="preserve"> §24-2J-</w:t>
      </w:r>
      <w:r w:rsidR="00C33923">
        <w:t>2</w:t>
      </w:r>
      <w:r w:rsidR="00C33923" w:rsidRPr="00C33923">
        <w:t>, §24-2J-</w:t>
      </w:r>
      <w:r w:rsidR="00C33923">
        <w:t>3</w:t>
      </w:r>
      <w:r w:rsidR="00C33923" w:rsidRPr="00C33923">
        <w:t>, §24-2J-</w:t>
      </w:r>
      <w:r w:rsidR="00C33923">
        <w:t>4</w:t>
      </w:r>
      <w:r w:rsidR="00C33923" w:rsidRPr="00C33923">
        <w:t>, §24-2J-</w:t>
      </w:r>
      <w:r w:rsidR="00C33923">
        <w:t>5</w:t>
      </w:r>
      <w:r w:rsidR="00C33923" w:rsidRPr="00C33923">
        <w:t>,</w:t>
      </w:r>
      <w:r w:rsidR="00C33923">
        <w:t xml:space="preserve"> and </w:t>
      </w:r>
      <w:r w:rsidR="00C33923" w:rsidRPr="00C33923">
        <w:t>§24-2J-</w:t>
      </w:r>
      <w:r w:rsidR="00C33923">
        <w:t>6</w:t>
      </w:r>
      <w:r w:rsidR="00C33923" w:rsidRPr="00C33923">
        <w:t>,</w:t>
      </w:r>
      <w:r w:rsidR="00C33923">
        <w:t xml:space="preserve"> relating to the Energy Economic Load Dispatch Act; providing a short title; and providing operational impact standards for the Public Service Commission when reviewing for c</w:t>
      </w:r>
      <w:r w:rsidR="00C33923" w:rsidRPr="00C33923">
        <w:t>ertificates of public convenience and necessity</w:t>
      </w:r>
      <w:r w:rsidR="00C33923">
        <w:t>, i</w:t>
      </w:r>
      <w:r w:rsidR="00C33923" w:rsidRPr="00C33923">
        <w:t xml:space="preserve">ntegrated </w:t>
      </w:r>
      <w:r w:rsidR="00C33923">
        <w:t>r</w:t>
      </w:r>
      <w:r w:rsidR="00C33923" w:rsidRPr="00C33923">
        <w:t xml:space="preserve">esource </w:t>
      </w:r>
      <w:r w:rsidR="00C33923">
        <w:t>p</w:t>
      </w:r>
      <w:r w:rsidR="00C33923" w:rsidRPr="00C33923">
        <w:t>lanning</w:t>
      </w:r>
      <w:r w:rsidR="00C33923">
        <w:t>, r</w:t>
      </w:r>
      <w:r w:rsidR="00C33923" w:rsidRPr="00C33923">
        <w:t>etail</w:t>
      </w:r>
      <w:r w:rsidR="00C33923">
        <w:t xml:space="preserve"> r</w:t>
      </w:r>
      <w:r w:rsidR="00C33923" w:rsidRPr="00C33923">
        <w:t xml:space="preserve">ate </w:t>
      </w:r>
      <w:r w:rsidR="00C33923">
        <w:t>r</w:t>
      </w:r>
      <w:r w:rsidR="00C33923" w:rsidRPr="00C33923">
        <w:t xml:space="preserve">ecovery </w:t>
      </w:r>
      <w:r w:rsidR="00C33923">
        <w:t>and</w:t>
      </w:r>
      <w:r w:rsidR="00C33923" w:rsidRPr="00C33923">
        <w:t xml:space="preserve"> </w:t>
      </w:r>
      <w:r w:rsidR="00C33923">
        <w:t>p</w:t>
      </w:r>
      <w:r w:rsidR="00C33923" w:rsidRPr="00C33923">
        <w:t xml:space="preserve">rudence </w:t>
      </w:r>
      <w:r w:rsidR="00C33923">
        <w:t>r</w:t>
      </w:r>
      <w:r w:rsidR="00C33923" w:rsidRPr="00C33923">
        <w:t>eviews</w:t>
      </w:r>
      <w:r w:rsidR="00C33923">
        <w:t>, and c</w:t>
      </w:r>
      <w:r w:rsidR="00C33923" w:rsidRPr="00C33923">
        <w:t xml:space="preserve">ertification, </w:t>
      </w:r>
      <w:r w:rsidR="00C33923">
        <w:t>s</w:t>
      </w:r>
      <w:r w:rsidR="00C33923" w:rsidRPr="00C33923">
        <w:t xml:space="preserve">iting, and </w:t>
      </w:r>
      <w:r w:rsidR="00C33923">
        <w:t>p</w:t>
      </w:r>
      <w:r w:rsidR="00C33923" w:rsidRPr="00C33923">
        <w:t xml:space="preserve">ermitting </w:t>
      </w:r>
      <w:r w:rsidR="00C33923">
        <w:t>a</w:t>
      </w:r>
      <w:r w:rsidR="00C33923" w:rsidRPr="00C33923">
        <w:t>uthority</w:t>
      </w:r>
      <w:r w:rsidR="00C33923">
        <w:t>.</w:t>
      </w:r>
    </w:p>
    <w:p w14:paraId="1209D6C7" w14:textId="4E1D764B" w:rsidR="00BD766B" w:rsidRDefault="00303684" w:rsidP="00CC1F3B">
      <w:pPr>
        <w:pStyle w:val="EnactingClause"/>
        <w:rPr>
          <w:i w:val="0"/>
          <w:iCs/>
        </w:rPr>
      </w:pPr>
      <w:r>
        <w:t>Be it enacted by the Legislature of West Virginia:</w:t>
      </w:r>
    </w:p>
    <w:p w14:paraId="4276957F" w14:textId="77777777" w:rsidR="00BD766B" w:rsidRDefault="00BD766B" w:rsidP="00CC1F3B">
      <w:pPr>
        <w:pStyle w:val="EnactingClause"/>
        <w:rPr>
          <w:i w:val="0"/>
          <w:iCs/>
        </w:rPr>
        <w:sectPr w:rsidR="00BD766B" w:rsidSect="001D6B5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44B143C" w14:textId="20C21A1B" w:rsidR="00BD766B" w:rsidRPr="00ED1A13" w:rsidRDefault="00BD766B" w:rsidP="00674310">
      <w:pPr>
        <w:pStyle w:val="ArticleHeading"/>
        <w:rPr>
          <w:u w:val="single"/>
        </w:rPr>
      </w:pPr>
      <w:r w:rsidRPr="00ED1A13">
        <w:rPr>
          <w:caps w:val="0"/>
          <w:u w:val="single"/>
        </w:rPr>
        <w:t>ARTICLE 2J. ENERGY ECONOMIC LOAD DISPATCH ACT.</w:t>
      </w:r>
    </w:p>
    <w:p w14:paraId="02E8CF50" w14:textId="77777777" w:rsidR="00BD766B" w:rsidRPr="00ED1A13" w:rsidRDefault="00BD766B" w:rsidP="00CC1F3B">
      <w:pPr>
        <w:pStyle w:val="EnactingClause"/>
        <w:rPr>
          <w:i w:val="0"/>
          <w:iCs/>
          <w:u w:val="single"/>
        </w:rPr>
        <w:sectPr w:rsidR="00BD766B" w:rsidRPr="00ED1A13" w:rsidSect="001D6B5A">
          <w:type w:val="continuous"/>
          <w:pgSz w:w="12240" w:h="15840" w:code="1"/>
          <w:pgMar w:top="1440" w:right="1440" w:bottom="1440" w:left="1440" w:header="720" w:footer="720" w:gutter="0"/>
          <w:lnNumType w:countBy="1" w:restart="newSection"/>
          <w:pgNumType w:start="0"/>
          <w:cols w:space="720"/>
          <w:titlePg/>
          <w:docGrid w:linePitch="360"/>
        </w:sectPr>
      </w:pPr>
    </w:p>
    <w:p w14:paraId="2F9438C3" w14:textId="786BEE1F" w:rsidR="00BD766B" w:rsidRPr="00ED1A13" w:rsidRDefault="00BD766B" w:rsidP="00F67E51">
      <w:pPr>
        <w:pStyle w:val="SectionHeading"/>
        <w:widowControl/>
        <w:rPr>
          <w:u w:val="single"/>
        </w:rPr>
      </w:pPr>
      <w:r w:rsidRPr="00ED1A13">
        <w:rPr>
          <w:u w:val="single"/>
        </w:rPr>
        <w:t>§24-2J-1. Short title.</w:t>
      </w:r>
    </w:p>
    <w:p w14:paraId="64524CB5" w14:textId="77777777" w:rsidR="00BD766B" w:rsidRPr="00ED1A13" w:rsidRDefault="00BD766B" w:rsidP="00F67E51">
      <w:pPr>
        <w:pStyle w:val="SectionBody"/>
        <w:widowControl/>
        <w:rPr>
          <w:u w:val="single"/>
        </w:rPr>
        <w:sectPr w:rsidR="00BD766B" w:rsidRPr="00ED1A13" w:rsidSect="001D6B5A">
          <w:type w:val="continuous"/>
          <w:pgSz w:w="12240" w:h="15840" w:code="1"/>
          <w:pgMar w:top="1440" w:right="1440" w:bottom="1440" w:left="1440" w:header="720" w:footer="720" w:gutter="0"/>
          <w:lnNumType w:countBy="1" w:restart="newSection"/>
          <w:pgNumType w:start="0"/>
          <w:cols w:space="720"/>
          <w:titlePg/>
          <w:docGrid w:linePitch="360"/>
        </w:sectPr>
      </w:pPr>
    </w:p>
    <w:p w14:paraId="44559A9D" w14:textId="48BC2E28" w:rsidR="00BD766B" w:rsidRPr="00ED1A13" w:rsidRDefault="00BD766B" w:rsidP="00F67E51">
      <w:pPr>
        <w:pStyle w:val="SectionBody"/>
        <w:widowControl/>
        <w:rPr>
          <w:u w:val="single"/>
        </w:rPr>
      </w:pPr>
      <w:r w:rsidRPr="00ED1A13">
        <w:rPr>
          <w:u w:val="single"/>
        </w:rPr>
        <w:t>This article shall be known and cited as the "Energy Economic Load Dispatch Act".</w:t>
      </w:r>
    </w:p>
    <w:p w14:paraId="2D2A121A" w14:textId="10447DBE" w:rsidR="00BD766B" w:rsidRPr="00ED1A13" w:rsidRDefault="00BD766B" w:rsidP="0071286D">
      <w:pPr>
        <w:pStyle w:val="SectionHeading"/>
        <w:widowControl/>
        <w:rPr>
          <w:u w:val="single"/>
        </w:rPr>
      </w:pPr>
      <w:r w:rsidRPr="00ED1A13">
        <w:rPr>
          <w:u w:val="single"/>
        </w:rPr>
        <w:t>§24-2</w:t>
      </w:r>
      <w:r w:rsidR="00C76725">
        <w:rPr>
          <w:u w:val="single"/>
        </w:rPr>
        <w:t>J</w:t>
      </w:r>
      <w:r w:rsidRPr="00ED1A13">
        <w:rPr>
          <w:u w:val="single"/>
        </w:rPr>
        <w:t xml:space="preserve">-2. </w:t>
      </w:r>
      <w:r w:rsidR="00ED7AA9" w:rsidRPr="00ED1A13">
        <w:rPr>
          <w:u w:val="single"/>
        </w:rPr>
        <w:t>Certificates of public convenience and necessity</w:t>
      </w:r>
      <w:r w:rsidRPr="00ED1A13">
        <w:rPr>
          <w:u w:val="single"/>
        </w:rPr>
        <w:t>.</w:t>
      </w:r>
    </w:p>
    <w:p w14:paraId="42052E03" w14:textId="77777777" w:rsidR="00BD766B" w:rsidRPr="00ED1A13" w:rsidRDefault="00BD766B" w:rsidP="0071286D">
      <w:pPr>
        <w:pStyle w:val="SectionBody"/>
        <w:widowControl/>
        <w:rPr>
          <w:u w:val="single"/>
        </w:rPr>
        <w:sectPr w:rsidR="00BD766B" w:rsidRPr="00ED1A13" w:rsidSect="001D6B5A">
          <w:type w:val="continuous"/>
          <w:pgSz w:w="12240" w:h="15840" w:code="1"/>
          <w:pgMar w:top="1440" w:right="1440" w:bottom="1440" w:left="1440" w:header="720" w:footer="720" w:gutter="0"/>
          <w:lnNumType w:countBy="1" w:restart="newSection"/>
          <w:pgNumType w:start="0"/>
          <w:cols w:space="720"/>
          <w:titlePg/>
          <w:docGrid w:linePitch="360"/>
        </w:sectPr>
      </w:pPr>
    </w:p>
    <w:p w14:paraId="0255A93A" w14:textId="5811F492" w:rsidR="00ED7AA9" w:rsidRPr="00ED1A13" w:rsidRDefault="00E120FA" w:rsidP="00ED7AA9">
      <w:pPr>
        <w:pStyle w:val="SectionBody"/>
        <w:rPr>
          <w:u w:val="single"/>
        </w:rPr>
      </w:pPr>
      <w:r>
        <w:rPr>
          <w:u w:val="single"/>
        </w:rPr>
        <w:t xml:space="preserve">(a) </w:t>
      </w:r>
      <w:r w:rsidR="00ED7AA9" w:rsidRPr="00ED1A13">
        <w:rPr>
          <w:u w:val="single"/>
        </w:rPr>
        <w:t>West Virginia Code §24-2-11 requires a utility to obtain a certificate of public convenience and necessity from the Public Service Commission before constructing electric generation facilities. Pursuant to §24-2-11</w:t>
      </w:r>
      <w:r w:rsidR="00BD766B" w:rsidRPr="00ED1A13">
        <w:rPr>
          <w:u w:val="single"/>
        </w:rPr>
        <w:t>(a)</w:t>
      </w:r>
      <w:r w:rsidR="00ED7AA9" w:rsidRPr="00ED1A13">
        <w:rPr>
          <w:u w:val="single"/>
        </w:rPr>
        <w:t xml:space="preserve"> of this code, a new legal</w:t>
      </w:r>
      <w:r w:rsidR="00BD766B" w:rsidRPr="00ED1A13">
        <w:rPr>
          <w:u w:val="single"/>
        </w:rPr>
        <w:t xml:space="preserve"> </w:t>
      </w:r>
      <w:r w:rsidR="00ED7AA9" w:rsidRPr="00ED1A13">
        <w:rPr>
          <w:u w:val="single"/>
        </w:rPr>
        <w:t>requirement to satisfy the existing processes is necessary to create compliance with the True Cost Economic Load Dispatch, a condition for:</w:t>
      </w:r>
    </w:p>
    <w:p w14:paraId="2B49CD12" w14:textId="4A3EFF19" w:rsidR="00ED7AA9" w:rsidRPr="00ED1A13" w:rsidRDefault="00ED7AA9" w:rsidP="00ED7AA9">
      <w:pPr>
        <w:pStyle w:val="SectionBody"/>
        <w:rPr>
          <w:u w:val="single"/>
        </w:rPr>
      </w:pPr>
      <w:r w:rsidRPr="00ED1A13">
        <w:rPr>
          <w:u w:val="single"/>
        </w:rPr>
        <w:t>(1) Receiving a certificate of public convenience and necessity;</w:t>
      </w:r>
    </w:p>
    <w:p w14:paraId="494CEB74" w14:textId="29B9DF59" w:rsidR="00ED7AA9" w:rsidRPr="00ED1A13" w:rsidRDefault="00ED7AA9" w:rsidP="00ED7AA9">
      <w:pPr>
        <w:pStyle w:val="SectionBody"/>
        <w:rPr>
          <w:u w:val="single"/>
        </w:rPr>
      </w:pPr>
      <w:r w:rsidRPr="00ED1A13">
        <w:rPr>
          <w:u w:val="single"/>
        </w:rPr>
        <w:t>(2) Retaining a certificate of public convenience and necessity;</w:t>
      </w:r>
    </w:p>
    <w:p w14:paraId="26F1AFA9" w14:textId="1D063680" w:rsidR="00ED7AA9" w:rsidRPr="00ED1A13" w:rsidRDefault="00ED7AA9" w:rsidP="00ED7AA9">
      <w:pPr>
        <w:pStyle w:val="SectionBody"/>
        <w:rPr>
          <w:u w:val="single"/>
        </w:rPr>
      </w:pPr>
      <w:r w:rsidRPr="00ED1A13">
        <w:rPr>
          <w:u w:val="single"/>
        </w:rPr>
        <w:t>(3) Receiving siting approval; and</w:t>
      </w:r>
    </w:p>
    <w:p w14:paraId="0132D763" w14:textId="2A95C173" w:rsidR="00BD766B" w:rsidRPr="00ED1A13" w:rsidRDefault="00ED7AA9" w:rsidP="00ED7AA9">
      <w:pPr>
        <w:pStyle w:val="SectionBody"/>
        <w:widowControl/>
        <w:rPr>
          <w:u w:val="single"/>
        </w:rPr>
      </w:pPr>
      <w:r w:rsidRPr="00ED1A13">
        <w:rPr>
          <w:u w:val="single"/>
        </w:rPr>
        <w:t>(4) Expanding or modifying a generating facility</w:t>
      </w:r>
      <w:r w:rsidR="00BD766B" w:rsidRPr="00ED1A13">
        <w:rPr>
          <w:u w:val="single"/>
        </w:rPr>
        <w:t>.</w:t>
      </w:r>
    </w:p>
    <w:p w14:paraId="21F63D88" w14:textId="5CE5F2FC" w:rsidR="00ED7AA9" w:rsidRPr="00ED1A13" w:rsidRDefault="00E120FA" w:rsidP="00ED7AA9">
      <w:pPr>
        <w:pStyle w:val="SectionBody"/>
        <w:widowControl/>
        <w:rPr>
          <w:u w:val="single"/>
        </w:rPr>
      </w:pPr>
      <w:r>
        <w:rPr>
          <w:u w:val="single"/>
        </w:rPr>
        <w:t xml:space="preserve">(b) </w:t>
      </w:r>
      <w:r w:rsidR="00ED7AA9" w:rsidRPr="00ED1A13">
        <w:rPr>
          <w:u w:val="single"/>
        </w:rPr>
        <w:t>This requirement shall also provide the Public Service Commission explicit authority to condition, suspend, or revoke certificates for failure to comply with this article.</w:t>
      </w:r>
    </w:p>
    <w:p w14:paraId="08762FD6" w14:textId="79BEADA6" w:rsidR="00BD766B" w:rsidRPr="00C76725" w:rsidRDefault="00BD766B" w:rsidP="00D133E9">
      <w:pPr>
        <w:pStyle w:val="SectionHeading"/>
        <w:rPr>
          <w:u w:val="single"/>
        </w:rPr>
      </w:pPr>
      <w:r w:rsidRPr="00C76725">
        <w:rPr>
          <w:u w:val="single"/>
        </w:rPr>
        <w:t>§24-2</w:t>
      </w:r>
      <w:r w:rsidR="00C76725" w:rsidRPr="00C76725">
        <w:rPr>
          <w:u w:val="single"/>
        </w:rPr>
        <w:t>J</w:t>
      </w:r>
      <w:r w:rsidRPr="00C76725">
        <w:rPr>
          <w:u w:val="single"/>
        </w:rPr>
        <w:t xml:space="preserve">-3. </w:t>
      </w:r>
      <w:r w:rsidR="00ED1A13" w:rsidRPr="00C76725">
        <w:rPr>
          <w:u w:val="single"/>
        </w:rPr>
        <w:t>Integrated resource planning</w:t>
      </w:r>
      <w:r w:rsidRPr="00C76725">
        <w:rPr>
          <w:u w:val="single"/>
        </w:rPr>
        <w:t>.</w:t>
      </w:r>
    </w:p>
    <w:p w14:paraId="3915D320" w14:textId="77777777" w:rsidR="00BD766B" w:rsidRPr="00C76725" w:rsidRDefault="00BD766B" w:rsidP="00D133E9">
      <w:pPr>
        <w:pStyle w:val="SectionBody"/>
        <w:rPr>
          <w:u w:val="single"/>
        </w:rPr>
        <w:sectPr w:rsidR="00BD766B" w:rsidRPr="00C76725" w:rsidSect="001D6B5A">
          <w:type w:val="continuous"/>
          <w:pgSz w:w="12240" w:h="15840" w:code="1"/>
          <w:pgMar w:top="1440" w:right="1440" w:bottom="1440" w:left="1440" w:header="720" w:footer="720" w:gutter="0"/>
          <w:lnNumType w:countBy="1" w:restart="newSection"/>
          <w:pgNumType w:start="0"/>
          <w:cols w:space="720"/>
          <w:titlePg/>
          <w:docGrid w:linePitch="360"/>
        </w:sectPr>
      </w:pPr>
    </w:p>
    <w:p w14:paraId="34565B46" w14:textId="6CCD0450" w:rsidR="00C76725" w:rsidRPr="00C76725" w:rsidRDefault="00E120FA" w:rsidP="00C76725">
      <w:pPr>
        <w:pStyle w:val="SectionBody"/>
        <w:rPr>
          <w:u w:val="single"/>
        </w:rPr>
      </w:pPr>
      <w:r>
        <w:rPr>
          <w:u w:val="single"/>
        </w:rPr>
        <w:t xml:space="preserve">(a) </w:t>
      </w:r>
      <w:r w:rsidR="00ED1A13" w:rsidRPr="00C76725">
        <w:rPr>
          <w:u w:val="single"/>
        </w:rPr>
        <w:t xml:space="preserve">West Virginia Code §24-2-19 requires electric utilities to prepare integrated resource plans for submission to the Public Service Commission for review. These plans analyze future electric supply, demand, and resource choices. Pursuant to §24-2-19 of this code, </w:t>
      </w:r>
      <w:r w:rsidR="00C76725" w:rsidRPr="00C76725">
        <w:rPr>
          <w:u w:val="single"/>
        </w:rPr>
        <w:t>w</w:t>
      </w:r>
      <w:r w:rsidR="00ED1A13" w:rsidRPr="00C76725">
        <w:rPr>
          <w:u w:val="single"/>
        </w:rPr>
        <w:t xml:space="preserve">hen reviewing </w:t>
      </w:r>
      <w:r w:rsidR="00ED1A13" w:rsidRPr="00C76725">
        <w:rPr>
          <w:u w:val="single"/>
        </w:rPr>
        <w:lastRenderedPageBreak/>
        <w:t>integrated resource plans, the Public Service Commission shall require the utility company to include</w:t>
      </w:r>
      <w:r w:rsidR="00C76725" w:rsidRPr="00C76725">
        <w:rPr>
          <w:u w:val="single"/>
        </w:rPr>
        <w:t>:</w:t>
      </w:r>
    </w:p>
    <w:p w14:paraId="6F2BF41B" w14:textId="5C80F695" w:rsidR="00C76725" w:rsidRPr="00C76725" w:rsidRDefault="00C76725" w:rsidP="00C76725">
      <w:pPr>
        <w:pStyle w:val="SectionBody"/>
        <w:rPr>
          <w:u w:val="single"/>
        </w:rPr>
      </w:pPr>
      <w:r w:rsidRPr="00C76725">
        <w:rPr>
          <w:u w:val="single"/>
        </w:rPr>
        <w:t>(1) Resource adequacy planning;</w:t>
      </w:r>
    </w:p>
    <w:p w14:paraId="044093D8" w14:textId="6F97B010" w:rsidR="00C76725" w:rsidRPr="00C76725" w:rsidRDefault="00C76725" w:rsidP="00C76725">
      <w:pPr>
        <w:pStyle w:val="SectionBody"/>
        <w:rPr>
          <w:u w:val="single"/>
        </w:rPr>
      </w:pPr>
      <w:r w:rsidRPr="00C76725">
        <w:rPr>
          <w:u w:val="single"/>
        </w:rPr>
        <w:t>(2) Reliability planning; and</w:t>
      </w:r>
    </w:p>
    <w:p w14:paraId="6EA32AFA" w14:textId="57F2CD06" w:rsidR="00C76725" w:rsidRPr="00C76725" w:rsidRDefault="00C76725" w:rsidP="00C76725">
      <w:pPr>
        <w:pStyle w:val="SectionBody"/>
        <w:rPr>
          <w:u w:val="single"/>
        </w:rPr>
      </w:pPr>
      <w:r w:rsidRPr="00C76725">
        <w:rPr>
          <w:u w:val="single"/>
        </w:rPr>
        <w:t>(3) Integrated resource plans, including subsidies and externalities.</w:t>
      </w:r>
    </w:p>
    <w:p w14:paraId="4AD8C04B" w14:textId="048FEEA7" w:rsidR="00BD766B" w:rsidRPr="00C76725" w:rsidRDefault="00E120FA" w:rsidP="00D133E9">
      <w:pPr>
        <w:pStyle w:val="SectionBody"/>
        <w:rPr>
          <w:u w:val="single"/>
        </w:rPr>
      </w:pPr>
      <w:r>
        <w:rPr>
          <w:u w:val="single"/>
        </w:rPr>
        <w:t xml:space="preserve">(b) </w:t>
      </w:r>
      <w:r w:rsidR="00C76725" w:rsidRPr="00C76725">
        <w:rPr>
          <w:u w:val="single"/>
        </w:rPr>
        <w:t>This requirement shall provide the Public Service Commission with</w:t>
      </w:r>
      <w:r w:rsidR="00C76725">
        <w:rPr>
          <w:u w:val="single"/>
        </w:rPr>
        <w:t xml:space="preserve"> a</w:t>
      </w:r>
      <w:r w:rsidR="00C76725" w:rsidRPr="00C76725">
        <w:rPr>
          <w:u w:val="single"/>
        </w:rPr>
        <w:t xml:space="preserve"> statutory planning</w:t>
      </w:r>
      <w:r w:rsidR="00C76725">
        <w:rPr>
          <w:u w:val="single"/>
        </w:rPr>
        <w:t xml:space="preserve"> standard when reviewing </w:t>
      </w:r>
      <w:r w:rsidR="00C76725" w:rsidRPr="00C76725">
        <w:rPr>
          <w:u w:val="single"/>
        </w:rPr>
        <w:t>integrated resource plans</w:t>
      </w:r>
      <w:r w:rsidR="00BD766B" w:rsidRPr="00C76725">
        <w:rPr>
          <w:u w:val="single"/>
        </w:rPr>
        <w:t>.</w:t>
      </w:r>
    </w:p>
    <w:p w14:paraId="67B96440" w14:textId="1040AEAD" w:rsidR="00BD766B" w:rsidRPr="00E120FA" w:rsidRDefault="00BD766B" w:rsidP="00AD4AC8">
      <w:pPr>
        <w:pStyle w:val="SectionHeading"/>
        <w:rPr>
          <w:u w:val="single"/>
        </w:rPr>
        <w:sectPr w:rsidR="00BD766B" w:rsidRPr="00E120FA" w:rsidSect="00C33923">
          <w:type w:val="continuous"/>
          <w:pgSz w:w="12240" w:h="15840" w:code="1"/>
          <w:pgMar w:top="1440" w:right="1440" w:bottom="1440" w:left="1440" w:header="720" w:footer="720" w:gutter="0"/>
          <w:lnNumType w:countBy="1" w:restart="newSection"/>
          <w:pgNumType w:start="1"/>
          <w:cols w:space="720"/>
          <w:titlePg/>
          <w:docGrid w:linePitch="360"/>
        </w:sectPr>
      </w:pPr>
      <w:r w:rsidRPr="00E120FA">
        <w:rPr>
          <w:u w:val="single"/>
        </w:rPr>
        <w:t>§24-2</w:t>
      </w:r>
      <w:r w:rsidR="00C76725" w:rsidRPr="00E120FA">
        <w:rPr>
          <w:u w:val="single"/>
        </w:rPr>
        <w:t>J</w:t>
      </w:r>
      <w:r w:rsidRPr="00E120FA">
        <w:rPr>
          <w:u w:val="single"/>
        </w:rPr>
        <w:t xml:space="preserve">-4. </w:t>
      </w:r>
      <w:r w:rsidR="00C76725" w:rsidRPr="00E120FA">
        <w:rPr>
          <w:u w:val="single"/>
        </w:rPr>
        <w:t>Retail rate recovery &amp; prudence reviews</w:t>
      </w:r>
      <w:r w:rsidRPr="00E120FA">
        <w:rPr>
          <w:u w:val="single"/>
        </w:rPr>
        <w:t>.</w:t>
      </w:r>
    </w:p>
    <w:p w14:paraId="64AC78A5" w14:textId="0E7083C7" w:rsidR="00E120FA" w:rsidRPr="00E120FA" w:rsidRDefault="00E120FA" w:rsidP="00E120FA">
      <w:pPr>
        <w:pStyle w:val="SectionBody"/>
        <w:rPr>
          <w:u w:val="single"/>
        </w:rPr>
      </w:pPr>
      <w:r w:rsidRPr="00E120FA">
        <w:rPr>
          <w:u w:val="single"/>
        </w:rPr>
        <w:t>(a) Under Chapter 24 of this code, the Public Service Commission has sole discretion as to whether utility costs were prudently incurred before allowing those costs to be recovered from ratepayers. This happens in:</w:t>
      </w:r>
    </w:p>
    <w:p w14:paraId="479D35BF" w14:textId="738D945B" w:rsidR="00E120FA" w:rsidRPr="00E120FA" w:rsidRDefault="00E120FA" w:rsidP="00E120FA">
      <w:pPr>
        <w:pStyle w:val="SectionBody"/>
        <w:rPr>
          <w:u w:val="single"/>
        </w:rPr>
      </w:pPr>
      <w:r w:rsidRPr="00E120FA">
        <w:rPr>
          <w:u w:val="single"/>
        </w:rPr>
        <w:t>(1) General rate cases;</w:t>
      </w:r>
    </w:p>
    <w:p w14:paraId="7523B820" w14:textId="1F017B69" w:rsidR="00E120FA" w:rsidRPr="00E120FA" w:rsidRDefault="00E120FA" w:rsidP="00E120FA">
      <w:pPr>
        <w:pStyle w:val="SectionBody"/>
        <w:rPr>
          <w:u w:val="single"/>
        </w:rPr>
      </w:pPr>
      <w:r w:rsidRPr="00E120FA">
        <w:rPr>
          <w:u w:val="single"/>
        </w:rPr>
        <w:t>(2) Fuel adjustment cases; and</w:t>
      </w:r>
    </w:p>
    <w:p w14:paraId="1374710C" w14:textId="7B83407E" w:rsidR="00E120FA" w:rsidRPr="00E120FA" w:rsidRDefault="00E120FA" w:rsidP="00E120FA">
      <w:pPr>
        <w:pStyle w:val="SectionBody"/>
        <w:rPr>
          <w:u w:val="single"/>
        </w:rPr>
      </w:pPr>
      <w:r w:rsidRPr="00E120FA">
        <w:rPr>
          <w:u w:val="single"/>
        </w:rPr>
        <w:t xml:space="preserve">(3) Prudence reviews tied to major projects. </w:t>
      </w:r>
    </w:p>
    <w:p w14:paraId="4E47DB7E" w14:textId="1126B5DC" w:rsidR="00BD766B" w:rsidRPr="00E120FA" w:rsidRDefault="00E120FA" w:rsidP="00E120FA">
      <w:pPr>
        <w:pStyle w:val="SectionBody"/>
        <w:rPr>
          <w:u w:val="single"/>
        </w:rPr>
      </w:pPr>
      <w:r w:rsidRPr="00E120FA">
        <w:rPr>
          <w:u w:val="single"/>
        </w:rPr>
        <w:t>(b) Pursuant to Chapter 24 of this code, a new statutory presumption shall be implemented which provides that if a utility relies on dispatch or planning decisions that do not comply with True Cost Economic Load Dispatch, those costs are presumed imprudent and cannot be recovered from customers</w:t>
      </w:r>
      <w:r w:rsidR="00BD766B" w:rsidRPr="00E120FA">
        <w:rPr>
          <w:u w:val="single"/>
        </w:rPr>
        <w:t>.</w:t>
      </w:r>
    </w:p>
    <w:p w14:paraId="5C2A9BEF" w14:textId="6AD14DE6" w:rsidR="00BD766B" w:rsidRPr="001D6B5A" w:rsidRDefault="00BD766B" w:rsidP="00F2121B">
      <w:pPr>
        <w:pStyle w:val="SectionHeading"/>
        <w:rPr>
          <w:u w:val="single"/>
        </w:rPr>
        <w:sectPr w:rsidR="00BD766B" w:rsidRPr="001D6B5A" w:rsidSect="001D6B5A">
          <w:type w:val="continuous"/>
          <w:pgSz w:w="12240" w:h="15840" w:code="1"/>
          <w:pgMar w:top="1440" w:right="1440" w:bottom="1440" w:left="1440" w:header="720" w:footer="720" w:gutter="0"/>
          <w:lnNumType w:countBy="1" w:restart="newSection"/>
          <w:pgNumType w:start="0"/>
          <w:cols w:space="720"/>
          <w:titlePg/>
          <w:docGrid w:linePitch="360"/>
        </w:sectPr>
      </w:pPr>
      <w:r w:rsidRPr="001D6B5A">
        <w:rPr>
          <w:u w:val="single"/>
        </w:rPr>
        <w:t>§24-2</w:t>
      </w:r>
      <w:r w:rsidR="00E120FA" w:rsidRPr="001D6B5A">
        <w:rPr>
          <w:u w:val="single"/>
        </w:rPr>
        <w:t>J</w:t>
      </w:r>
      <w:r w:rsidRPr="001D6B5A">
        <w:rPr>
          <w:u w:val="single"/>
        </w:rPr>
        <w:t xml:space="preserve">-5. </w:t>
      </w:r>
      <w:r w:rsidR="00E120FA" w:rsidRPr="001D6B5A">
        <w:rPr>
          <w:u w:val="single"/>
        </w:rPr>
        <w:t>Public Service Commission certification, siting, and permitting authority</w:t>
      </w:r>
      <w:r w:rsidRPr="001D6B5A">
        <w:rPr>
          <w:u w:val="single"/>
        </w:rPr>
        <w:t>.</w:t>
      </w:r>
    </w:p>
    <w:p w14:paraId="4166A3E7" w14:textId="64855A7A" w:rsidR="00E120FA" w:rsidRPr="001D6B5A" w:rsidRDefault="00E120FA" w:rsidP="00E120FA">
      <w:pPr>
        <w:pStyle w:val="SectionBody"/>
        <w:rPr>
          <w:u w:val="single"/>
        </w:rPr>
      </w:pPr>
      <w:r w:rsidRPr="001D6B5A">
        <w:rPr>
          <w:u w:val="single"/>
        </w:rPr>
        <w:t xml:space="preserve">The article shall </w:t>
      </w:r>
      <w:r w:rsidR="001D6B5A" w:rsidRPr="001D6B5A">
        <w:rPr>
          <w:u w:val="single"/>
        </w:rPr>
        <w:t>impact on</w:t>
      </w:r>
      <w:r w:rsidRPr="001D6B5A">
        <w:rPr>
          <w:u w:val="single"/>
        </w:rPr>
        <w:t xml:space="preserve"> how the Public Service Commission exercises authority under existing siting and certification laws by:</w:t>
      </w:r>
    </w:p>
    <w:p w14:paraId="19AAAF5C" w14:textId="144B9B20" w:rsidR="00E120FA" w:rsidRPr="001D6B5A" w:rsidRDefault="00E120FA" w:rsidP="00E120FA">
      <w:pPr>
        <w:pStyle w:val="SectionBody"/>
        <w:rPr>
          <w:u w:val="single"/>
        </w:rPr>
      </w:pPr>
      <w:r w:rsidRPr="001D6B5A">
        <w:rPr>
          <w:u w:val="single"/>
        </w:rPr>
        <w:t xml:space="preserve">(1) </w:t>
      </w:r>
      <w:r w:rsidR="001D6B5A" w:rsidRPr="001D6B5A">
        <w:rPr>
          <w:u w:val="single"/>
        </w:rPr>
        <w:t>Requiring</w:t>
      </w:r>
      <w:r w:rsidRPr="001D6B5A">
        <w:rPr>
          <w:u w:val="single"/>
        </w:rPr>
        <w:t xml:space="preserve"> compliance with §22-</w:t>
      </w:r>
      <w:r w:rsidR="001D6B5A" w:rsidRPr="001D6B5A">
        <w:rPr>
          <w:u w:val="single"/>
        </w:rPr>
        <w:t xml:space="preserve">2-1 </w:t>
      </w:r>
      <w:r w:rsidR="001D6B5A" w:rsidRPr="001D6B5A">
        <w:rPr>
          <w:i/>
          <w:iCs/>
          <w:u w:val="single"/>
        </w:rPr>
        <w:t>et seq</w:t>
      </w:r>
      <w:r w:rsidR="001D6B5A" w:rsidRPr="001D6B5A">
        <w:rPr>
          <w:u w:val="single"/>
        </w:rPr>
        <w:t>. of this code</w:t>
      </w:r>
      <w:r w:rsidRPr="001D6B5A">
        <w:rPr>
          <w:u w:val="single"/>
        </w:rPr>
        <w:t xml:space="preserve"> a prerequisite for approvals</w:t>
      </w:r>
      <w:r w:rsidR="001D6B5A" w:rsidRPr="001D6B5A">
        <w:rPr>
          <w:u w:val="single"/>
        </w:rPr>
        <w:t>;</w:t>
      </w:r>
    </w:p>
    <w:p w14:paraId="4416191D" w14:textId="766884CD" w:rsidR="00E120FA" w:rsidRPr="001D6B5A" w:rsidRDefault="001D6B5A" w:rsidP="00E120FA">
      <w:pPr>
        <w:pStyle w:val="SectionBody"/>
        <w:rPr>
          <w:u w:val="single"/>
        </w:rPr>
      </w:pPr>
      <w:r w:rsidRPr="001D6B5A">
        <w:rPr>
          <w:u w:val="single"/>
        </w:rPr>
        <w:t>(2)</w:t>
      </w:r>
      <w:r w:rsidR="00E120FA" w:rsidRPr="001D6B5A">
        <w:rPr>
          <w:u w:val="single"/>
        </w:rPr>
        <w:t xml:space="preserve"> </w:t>
      </w:r>
      <w:r w:rsidRPr="001D6B5A">
        <w:rPr>
          <w:u w:val="single"/>
        </w:rPr>
        <w:t>Requiring</w:t>
      </w:r>
      <w:r w:rsidR="00E120FA" w:rsidRPr="001D6B5A">
        <w:rPr>
          <w:u w:val="single"/>
        </w:rPr>
        <w:t xml:space="preserve"> the </w:t>
      </w:r>
      <w:r w:rsidRPr="001D6B5A">
        <w:rPr>
          <w:u w:val="single"/>
        </w:rPr>
        <w:t>Public Service Commission</w:t>
      </w:r>
      <w:r w:rsidR="00E120FA" w:rsidRPr="001D6B5A">
        <w:rPr>
          <w:u w:val="single"/>
        </w:rPr>
        <w:t xml:space="preserve"> to deny or condition approvals if utilities rely on non-compliant </w:t>
      </w:r>
      <w:r w:rsidRPr="001D6B5A">
        <w:rPr>
          <w:u w:val="single"/>
        </w:rPr>
        <w:t>regional transmission organization</w:t>
      </w:r>
      <w:r w:rsidR="00E120FA" w:rsidRPr="001D6B5A">
        <w:rPr>
          <w:u w:val="single"/>
        </w:rPr>
        <w:t xml:space="preserve"> dispatch outcomes</w:t>
      </w:r>
      <w:r w:rsidRPr="001D6B5A">
        <w:rPr>
          <w:u w:val="single"/>
        </w:rPr>
        <w:t>; and</w:t>
      </w:r>
    </w:p>
    <w:p w14:paraId="7959A886" w14:textId="6DAE8B47" w:rsidR="001D6B5A" w:rsidRPr="001D6B5A" w:rsidRDefault="001D6B5A" w:rsidP="00E120FA">
      <w:pPr>
        <w:pStyle w:val="SectionBody"/>
        <w:rPr>
          <w:u w:val="single"/>
        </w:rPr>
      </w:pPr>
      <w:r w:rsidRPr="001D6B5A">
        <w:rPr>
          <w:u w:val="single"/>
        </w:rPr>
        <w:t>(3) Requiring</w:t>
      </w:r>
      <w:r w:rsidR="00E120FA" w:rsidRPr="001D6B5A">
        <w:rPr>
          <w:u w:val="single"/>
        </w:rPr>
        <w:t xml:space="preserve"> alternative state-approved analyses when </w:t>
      </w:r>
      <w:r w:rsidRPr="001D6B5A">
        <w:rPr>
          <w:u w:val="single"/>
        </w:rPr>
        <w:t>regional transmission organizations</w:t>
      </w:r>
      <w:r w:rsidR="00E120FA" w:rsidRPr="001D6B5A">
        <w:rPr>
          <w:u w:val="single"/>
        </w:rPr>
        <w:t xml:space="preserve"> fail to provide data</w:t>
      </w:r>
      <w:r w:rsidRPr="001D6B5A">
        <w:rPr>
          <w:u w:val="single"/>
        </w:rPr>
        <w:t>.</w:t>
      </w:r>
    </w:p>
    <w:p w14:paraId="7FA31DDA" w14:textId="77777777" w:rsidR="001D6B5A" w:rsidRPr="001D6B5A" w:rsidRDefault="001D6B5A" w:rsidP="00E120FA">
      <w:pPr>
        <w:pStyle w:val="SectionBody"/>
        <w:rPr>
          <w:u w:val="single"/>
        </w:rPr>
        <w:sectPr w:rsidR="001D6B5A" w:rsidRPr="001D6B5A" w:rsidSect="001D6B5A">
          <w:type w:val="continuous"/>
          <w:pgSz w:w="12240" w:h="15840" w:code="1"/>
          <w:pgMar w:top="1440" w:right="1440" w:bottom="1440" w:left="1440" w:header="720" w:footer="720" w:gutter="0"/>
          <w:lnNumType w:countBy="1" w:restart="newSection"/>
          <w:pgNumType w:start="0"/>
          <w:cols w:space="720"/>
          <w:titlePg/>
          <w:docGrid w:linePitch="360"/>
        </w:sectPr>
      </w:pPr>
    </w:p>
    <w:p w14:paraId="5D643915" w14:textId="7D03F4B0" w:rsidR="001D6B5A" w:rsidRPr="001D6B5A" w:rsidRDefault="001D6B5A" w:rsidP="009141AF">
      <w:pPr>
        <w:pStyle w:val="SectionHeading"/>
        <w:rPr>
          <w:u w:val="single"/>
        </w:rPr>
      </w:pPr>
      <w:r w:rsidRPr="001D6B5A">
        <w:rPr>
          <w:u w:val="single"/>
        </w:rPr>
        <w:lastRenderedPageBreak/>
        <w:t>§24-2J-6. Operational impact.</w:t>
      </w:r>
    </w:p>
    <w:p w14:paraId="235C0249" w14:textId="57CBB227" w:rsidR="00C33014" w:rsidRPr="001D6B5A" w:rsidRDefault="001D6B5A" w:rsidP="001D6B5A">
      <w:pPr>
        <w:pStyle w:val="SectionBody"/>
        <w:rPr>
          <w:u w:val="single"/>
        </w:rPr>
      </w:pPr>
      <w:r w:rsidRPr="001D6B5A">
        <w:rPr>
          <w:u w:val="single"/>
        </w:rPr>
        <w:t>T</w:t>
      </w:r>
      <w:r w:rsidR="00E120FA" w:rsidRPr="001D6B5A">
        <w:rPr>
          <w:u w:val="single"/>
        </w:rPr>
        <w:t xml:space="preserve">he </w:t>
      </w:r>
      <w:r w:rsidRPr="001D6B5A">
        <w:rPr>
          <w:u w:val="single"/>
        </w:rPr>
        <w:t>Public Service Commission</w:t>
      </w:r>
      <w:r w:rsidR="00E120FA" w:rsidRPr="001D6B5A">
        <w:rPr>
          <w:u w:val="single"/>
        </w:rPr>
        <w:t xml:space="preserve"> </w:t>
      </w:r>
      <w:r w:rsidRPr="001D6B5A">
        <w:rPr>
          <w:u w:val="single"/>
        </w:rPr>
        <w:t xml:space="preserve">shall implement this act when utilizing decision-making authority under </w:t>
      </w:r>
      <w:r w:rsidR="00E120FA" w:rsidRPr="001D6B5A">
        <w:rPr>
          <w:u w:val="single"/>
        </w:rPr>
        <w:t>Chapter 24</w:t>
      </w:r>
      <w:r w:rsidRPr="001D6B5A">
        <w:rPr>
          <w:u w:val="single"/>
        </w:rPr>
        <w:t xml:space="preserve"> of this code</w:t>
      </w:r>
      <w:r w:rsidR="00BD766B" w:rsidRPr="001D6B5A">
        <w:rPr>
          <w:u w:val="single"/>
        </w:rPr>
        <w:t>.</w:t>
      </w:r>
    </w:p>
    <w:p w14:paraId="0CE4C9F8" w14:textId="77777777" w:rsidR="00C33923" w:rsidRDefault="00C33923" w:rsidP="00CC1F3B">
      <w:pPr>
        <w:pStyle w:val="Note"/>
      </w:pPr>
    </w:p>
    <w:p w14:paraId="1BD062DE" w14:textId="0BF9E577" w:rsidR="006865E9" w:rsidRDefault="00CF1DCA" w:rsidP="00CC1F3B">
      <w:pPr>
        <w:pStyle w:val="Note"/>
      </w:pPr>
      <w:r>
        <w:t>NOTE: The</w:t>
      </w:r>
      <w:r w:rsidR="006865E9">
        <w:t xml:space="preserve"> purpose of this bill is to </w:t>
      </w:r>
      <w:r w:rsidR="001D6B5A">
        <w:t>create the Energy Economic Load Dispatch Act.</w:t>
      </w:r>
    </w:p>
    <w:p w14:paraId="246DA8E8" w14:textId="7EC2BA95" w:rsidR="006865E9" w:rsidRPr="00303684" w:rsidRDefault="00AE48A0" w:rsidP="00CC1F3B">
      <w:pPr>
        <w:pStyle w:val="Note"/>
      </w:pPr>
      <w:r w:rsidRPr="00AE48A0">
        <w:t xml:space="preserve">Strike-throughs indicate language that would be stricken from a heading or the present law </w:t>
      </w:r>
      <w:r w:rsidR="001D6B5A">
        <w:t>a</w:t>
      </w:r>
      <w:r w:rsidRPr="00AE48A0">
        <w:t>nd underscoring indicates new language that would be added.</w:t>
      </w:r>
    </w:p>
    <w:sectPr w:rsidR="006865E9" w:rsidRPr="00303684" w:rsidSect="001D6B5A">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487D3" w14:textId="77777777" w:rsidR="00BD766B" w:rsidRPr="00B844FE" w:rsidRDefault="00BD766B" w:rsidP="00B844FE">
      <w:r>
        <w:separator/>
      </w:r>
    </w:p>
  </w:endnote>
  <w:endnote w:type="continuationSeparator" w:id="0">
    <w:p w14:paraId="04EC5B1E" w14:textId="77777777" w:rsidR="00BD766B" w:rsidRPr="00B844FE" w:rsidRDefault="00BD766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46AFF6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D5351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106D46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BEC6" w14:textId="7936F570" w:rsidR="00C33923" w:rsidRDefault="00C33923">
    <w:pPr>
      <w:pStyle w:val="Footer"/>
    </w:pPr>
    <w:r>
      <w:tab/>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BA6C2" w14:textId="77777777" w:rsidR="00BD766B" w:rsidRPr="00B844FE" w:rsidRDefault="00BD766B" w:rsidP="00B844FE">
      <w:r>
        <w:separator/>
      </w:r>
    </w:p>
  </w:footnote>
  <w:footnote w:type="continuationSeparator" w:id="0">
    <w:p w14:paraId="26933B00" w14:textId="77777777" w:rsidR="00BD766B" w:rsidRPr="00B844FE" w:rsidRDefault="00BD766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E746" w14:textId="77777777" w:rsidR="002A0269" w:rsidRPr="00B844FE" w:rsidRDefault="00255AEA">
    <w:pPr>
      <w:pStyle w:val="Header"/>
    </w:pPr>
    <w:sdt>
      <w:sdtPr>
        <w:id w:val="-684364211"/>
        <w:placeholder>
          <w:docPart w:val="4FC8EE21D42146628F3B9EBC5BAD9E7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FC8EE21D42146628F3B9EBC5BAD9E7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2A027" w14:textId="6C188C8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D7AA9">
      <w:rPr>
        <w:sz w:val="22"/>
        <w:szCs w:val="22"/>
      </w:rPr>
      <w:t>SB</w:t>
    </w:r>
    <w:r w:rsidR="008D1D92">
      <w:rPr>
        <w:sz w:val="22"/>
        <w:szCs w:val="22"/>
      </w:rPr>
      <w:t xml:space="preserve"> 1041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D7AA9">
          <w:rPr>
            <w:sz w:val="22"/>
            <w:szCs w:val="22"/>
          </w:rPr>
          <w:t>2026R4284</w:t>
        </w:r>
      </w:sdtContent>
    </w:sdt>
  </w:p>
  <w:p w14:paraId="1F46CBD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591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28801" w14:textId="57B662E0" w:rsidR="00C33923" w:rsidRPr="004D3ABE" w:rsidRDefault="00C33923" w:rsidP="00CC1F3B">
    <w:pPr>
      <w:pStyle w:val="HeaderStyle"/>
      <w:rPr>
        <w:sz w:val="22"/>
        <w:szCs w:val="22"/>
      </w:rPr>
    </w:pPr>
    <w:r w:rsidRPr="00C33923">
      <w:rPr>
        <w:sz w:val="22"/>
        <w:szCs w:val="22"/>
      </w:rPr>
      <w:t>Intr  SB</w:t>
    </w:r>
    <w:r w:rsidRPr="00C33923">
      <w:rPr>
        <w:sz w:val="22"/>
        <w:szCs w:val="22"/>
      </w:rPr>
      <w:tab/>
    </w:r>
    <w:r w:rsidRPr="00C33923">
      <w:rPr>
        <w:sz w:val="22"/>
        <w:szCs w:val="22"/>
      </w:rPr>
      <w:tab/>
      <w:t>2026R4284</w:t>
    </w: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6B"/>
    <w:rsid w:val="0000526A"/>
    <w:rsid w:val="00010CF7"/>
    <w:rsid w:val="00036274"/>
    <w:rsid w:val="000573A9"/>
    <w:rsid w:val="00085D22"/>
    <w:rsid w:val="00093AB0"/>
    <w:rsid w:val="000C5C77"/>
    <w:rsid w:val="000E3912"/>
    <w:rsid w:val="0010070F"/>
    <w:rsid w:val="0015112E"/>
    <w:rsid w:val="001552E7"/>
    <w:rsid w:val="001566B4"/>
    <w:rsid w:val="00190501"/>
    <w:rsid w:val="001A66B7"/>
    <w:rsid w:val="001C279E"/>
    <w:rsid w:val="001D459E"/>
    <w:rsid w:val="001D48BB"/>
    <w:rsid w:val="001D6B5A"/>
    <w:rsid w:val="00200488"/>
    <w:rsid w:val="0020151F"/>
    <w:rsid w:val="00211F02"/>
    <w:rsid w:val="0022348D"/>
    <w:rsid w:val="00255AEA"/>
    <w:rsid w:val="0027011C"/>
    <w:rsid w:val="00274200"/>
    <w:rsid w:val="00275740"/>
    <w:rsid w:val="002A0269"/>
    <w:rsid w:val="00303684"/>
    <w:rsid w:val="003143F5"/>
    <w:rsid w:val="00314854"/>
    <w:rsid w:val="00394191"/>
    <w:rsid w:val="003A0DC1"/>
    <w:rsid w:val="003C51CD"/>
    <w:rsid w:val="003C6034"/>
    <w:rsid w:val="00400B5C"/>
    <w:rsid w:val="004368E0"/>
    <w:rsid w:val="00472976"/>
    <w:rsid w:val="004C13DD"/>
    <w:rsid w:val="004D3ABE"/>
    <w:rsid w:val="004E3441"/>
    <w:rsid w:val="00500579"/>
    <w:rsid w:val="00572702"/>
    <w:rsid w:val="005A5366"/>
    <w:rsid w:val="006369EB"/>
    <w:rsid w:val="00637E73"/>
    <w:rsid w:val="00653672"/>
    <w:rsid w:val="006865E9"/>
    <w:rsid w:val="00686E9A"/>
    <w:rsid w:val="00691F3E"/>
    <w:rsid w:val="00694BFB"/>
    <w:rsid w:val="006A106B"/>
    <w:rsid w:val="006C523D"/>
    <w:rsid w:val="006D4036"/>
    <w:rsid w:val="00766AD0"/>
    <w:rsid w:val="007A5259"/>
    <w:rsid w:val="007A7081"/>
    <w:rsid w:val="007F1CF5"/>
    <w:rsid w:val="00834EDE"/>
    <w:rsid w:val="0083690E"/>
    <w:rsid w:val="00866AEA"/>
    <w:rsid w:val="008736AA"/>
    <w:rsid w:val="008D1D92"/>
    <w:rsid w:val="008D275D"/>
    <w:rsid w:val="00900D99"/>
    <w:rsid w:val="00946186"/>
    <w:rsid w:val="00980327"/>
    <w:rsid w:val="00986478"/>
    <w:rsid w:val="009B5557"/>
    <w:rsid w:val="009D0170"/>
    <w:rsid w:val="009F1067"/>
    <w:rsid w:val="00A31E01"/>
    <w:rsid w:val="00A50534"/>
    <w:rsid w:val="00A527AD"/>
    <w:rsid w:val="00A718CF"/>
    <w:rsid w:val="00AA069B"/>
    <w:rsid w:val="00AE48A0"/>
    <w:rsid w:val="00AE61BE"/>
    <w:rsid w:val="00AF4034"/>
    <w:rsid w:val="00B16F25"/>
    <w:rsid w:val="00B24422"/>
    <w:rsid w:val="00B66B81"/>
    <w:rsid w:val="00B71E6F"/>
    <w:rsid w:val="00B80C20"/>
    <w:rsid w:val="00B844FE"/>
    <w:rsid w:val="00B86B4F"/>
    <w:rsid w:val="00BA1F84"/>
    <w:rsid w:val="00BC562B"/>
    <w:rsid w:val="00BD68AA"/>
    <w:rsid w:val="00BD766B"/>
    <w:rsid w:val="00C33014"/>
    <w:rsid w:val="00C33434"/>
    <w:rsid w:val="00C33923"/>
    <w:rsid w:val="00C34869"/>
    <w:rsid w:val="00C42EB6"/>
    <w:rsid w:val="00C62327"/>
    <w:rsid w:val="00C76725"/>
    <w:rsid w:val="00C85096"/>
    <w:rsid w:val="00CB20EF"/>
    <w:rsid w:val="00CC1F3B"/>
    <w:rsid w:val="00CD12CB"/>
    <w:rsid w:val="00CD36CF"/>
    <w:rsid w:val="00CF1DCA"/>
    <w:rsid w:val="00D579FC"/>
    <w:rsid w:val="00D81C16"/>
    <w:rsid w:val="00DE526B"/>
    <w:rsid w:val="00DF199D"/>
    <w:rsid w:val="00E01542"/>
    <w:rsid w:val="00E120FA"/>
    <w:rsid w:val="00E365F1"/>
    <w:rsid w:val="00E62F48"/>
    <w:rsid w:val="00E831B3"/>
    <w:rsid w:val="00E95FBC"/>
    <w:rsid w:val="00EC5E63"/>
    <w:rsid w:val="00ED0CB6"/>
    <w:rsid w:val="00ED1A13"/>
    <w:rsid w:val="00ED7AA9"/>
    <w:rsid w:val="00EE70CB"/>
    <w:rsid w:val="00F41CA2"/>
    <w:rsid w:val="00F443C0"/>
    <w:rsid w:val="00F62EFB"/>
    <w:rsid w:val="00F939A4"/>
    <w:rsid w:val="00FA7B09"/>
    <w:rsid w:val="00FB23D7"/>
    <w:rsid w:val="00FD243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BD067"/>
  <w15:chartTrackingRefBased/>
  <w15:docId w15:val="{5BD18253-307D-44FE-B638-8B6747FF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BD766B"/>
    <w:rPr>
      <w:rFonts w:eastAsia="Calibri"/>
      <w:b/>
      <w:color w:val="000000"/>
    </w:rPr>
  </w:style>
  <w:style w:type="character" w:customStyle="1" w:styleId="SectionBodyChar">
    <w:name w:val="Section Body Char"/>
    <w:link w:val="SectionBody"/>
    <w:rsid w:val="00BD766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1D77160AF04604A890AF84F4DFE1CC"/>
        <w:category>
          <w:name w:val="General"/>
          <w:gallery w:val="placeholder"/>
        </w:category>
        <w:types>
          <w:type w:val="bbPlcHdr"/>
        </w:types>
        <w:behaviors>
          <w:behavior w:val="content"/>
        </w:behaviors>
        <w:guid w:val="{8276AB86-6B9B-48EF-8CE7-2C96635182BD}"/>
      </w:docPartPr>
      <w:docPartBody>
        <w:p w:rsidR="00E10D7D" w:rsidRDefault="00E10D7D">
          <w:pPr>
            <w:pStyle w:val="591D77160AF04604A890AF84F4DFE1CC"/>
          </w:pPr>
          <w:r w:rsidRPr="00B844FE">
            <w:t>Prefix Text</w:t>
          </w:r>
        </w:p>
      </w:docPartBody>
    </w:docPart>
    <w:docPart>
      <w:docPartPr>
        <w:name w:val="4FC8EE21D42146628F3B9EBC5BAD9E7A"/>
        <w:category>
          <w:name w:val="General"/>
          <w:gallery w:val="placeholder"/>
        </w:category>
        <w:types>
          <w:type w:val="bbPlcHdr"/>
        </w:types>
        <w:behaviors>
          <w:behavior w:val="content"/>
        </w:behaviors>
        <w:guid w:val="{7C3D471B-8675-44E7-8A1B-FB0A643B147C}"/>
      </w:docPartPr>
      <w:docPartBody>
        <w:p w:rsidR="00E10D7D" w:rsidRDefault="00E10D7D">
          <w:pPr>
            <w:pStyle w:val="4FC8EE21D42146628F3B9EBC5BAD9E7A"/>
          </w:pPr>
          <w:r w:rsidRPr="00B844FE">
            <w:t>[Type here]</w:t>
          </w:r>
        </w:p>
      </w:docPartBody>
    </w:docPart>
    <w:docPart>
      <w:docPartPr>
        <w:name w:val="79E5BAC475A4474A9F477F81C1ECDF8C"/>
        <w:category>
          <w:name w:val="General"/>
          <w:gallery w:val="placeholder"/>
        </w:category>
        <w:types>
          <w:type w:val="bbPlcHdr"/>
        </w:types>
        <w:behaviors>
          <w:behavior w:val="content"/>
        </w:behaviors>
        <w:guid w:val="{7B007E98-3DE6-4EA7-ACF2-D604EEDCEC9E}"/>
      </w:docPartPr>
      <w:docPartBody>
        <w:p w:rsidR="00E10D7D" w:rsidRDefault="00E10D7D">
          <w:pPr>
            <w:pStyle w:val="79E5BAC475A4474A9F477F81C1ECDF8C"/>
          </w:pPr>
          <w:r w:rsidRPr="00B844FE">
            <w:t>Number</w:t>
          </w:r>
        </w:p>
      </w:docPartBody>
    </w:docPart>
    <w:docPart>
      <w:docPartPr>
        <w:name w:val="066D9A612FB440F29529E4A923476B2B"/>
        <w:category>
          <w:name w:val="General"/>
          <w:gallery w:val="placeholder"/>
        </w:category>
        <w:types>
          <w:type w:val="bbPlcHdr"/>
        </w:types>
        <w:behaviors>
          <w:behavior w:val="content"/>
        </w:behaviors>
        <w:guid w:val="{35233526-6B70-4FAB-9F42-22B0FF9F599F}"/>
      </w:docPartPr>
      <w:docPartBody>
        <w:p w:rsidR="00E10D7D" w:rsidRDefault="00E10D7D">
          <w:pPr>
            <w:pStyle w:val="066D9A612FB440F29529E4A923476B2B"/>
          </w:pPr>
          <w:r w:rsidRPr="00B844FE">
            <w:t>Enter Sponsors Here</w:t>
          </w:r>
        </w:p>
      </w:docPartBody>
    </w:docPart>
    <w:docPart>
      <w:docPartPr>
        <w:name w:val="AC95E78F39904BCF8FA4B31E5A7A8579"/>
        <w:category>
          <w:name w:val="General"/>
          <w:gallery w:val="placeholder"/>
        </w:category>
        <w:types>
          <w:type w:val="bbPlcHdr"/>
        </w:types>
        <w:behaviors>
          <w:behavior w:val="content"/>
        </w:behaviors>
        <w:guid w:val="{8ED6D222-CA49-4ED9-B6B3-B1DF14DEC8BB}"/>
      </w:docPartPr>
      <w:docPartBody>
        <w:p w:rsidR="00E10D7D" w:rsidRDefault="00E10D7D">
          <w:pPr>
            <w:pStyle w:val="AC95E78F39904BCF8FA4B31E5A7A857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7D"/>
    <w:rsid w:val="00190501"/>
    <w:rsid w:val="001D48BB"/>
    <w:rsid w:val="003A0DC1"/>
    <w:rsid w:val="00472976"/>
    <w:rsid w:val="0083690E"/>
    <w:rsid w:val="00900D99"/>
    <w:rsid w:val="00A50534"/>
    <w:rsid w:val="00AF4034"/>
    <w:rsid w:val="00BD68AA"/>
    <w:rsid w:val="00E10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1D77160AF04604A890AF84F4DFE1CC">
    <w:name w:val="591D77160AF04604A890AF84F4DFE1CC"/>
  </w:style>
  <w:style w:type="paragraph" w:customStyle="1" w:styleId="4FC8EE21D42146628F3B9EBC5BAD9E7A">
    <w:name w:val="4FC8EE21D42146628F3B9EBC5BAD9E7A"/>
  </w:style>
  <w:style w:type="paragraph" w:customStyle="1" w:styleId="79E5BAC475A4474A9F477F81C1ECDF8C">
    <w:name w:val="79E5BAC475A4474A9F477F81C1ECDF8C"/>
  </w:style>
  <w:style w:type="paragraph" w:customStyle="1" w:styleId="066D9A612FB440F29529E4A923476B2B">
    <w:name w:val="066D9A612FB440F29529E4A923476B2B"/>
  </w:style>
  <w:style w:type="character" w:styleId="PlaceholderText">
    <w:name w:val="Placeholder Text"/>
    <w:basedOn w:val="DefaultParagraphFont"/>
    <w:uiPriority w:val="99"/>
    <w:semiHidden/>
    <w:rPr>
      <w:color w:val="808080"/>
    </w:rPr>
  </w:style>
  <w:style w:type="paragraph" w:customStyle="1" w:styleId="AC95E78F39904BCF8FA4B31E5A7A8579">
    <w:name w:val="AC95E78F39904BCF8FA4B31E5A7A85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18</TotalTime>
  <Pages>4</Pages>
  <Words>634</Words>
  <Characters>3532</Characters>
  <Application>Microsoft Office Word</Application>
  <DocSecurity>0</DocSecurity>
  <Lines>84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12</cp:revision>
  <dcterms:created xsi:type="dcterms:W3CDTF">2026-02-18T15:22:00Z</dcterms:created>
  <dcterms:modified xsi:type="dcterms:W3CDTF">2026-02-20T21:26:00Z</dcterms:modified>
</cp:coreProperties>
</file>