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D74C" w14:textId="77777777" w:rsidR="00FE067E" w:rsidRDefault="00CD36CF" w:rsidP="00CC1F3B">
      <w:pPr>
        <w:pStyle w:val="TitlePageOrigin"/>
      </w:pPr>
      <w:r>
        <w:t>WEST virginia legislature</w:t>
      </w:r>
    </w:p>
    <w:p w14:paraId="3E1B78D1" w14:textId="77777777" w:rsidR="00CD36CF" w:rsidRDefault="00CD36CF" w:rsidP="00CC1F3B">
      <w:pPr>
        <w:pStyle w:val="TitlePageSession"/>
      </w:pPr>
      <w:r>
        <w:t>20</w:t>
      </w:r>
      <w:r w:rsidR="007F29DD">
        <w:t>2</w:t>
      </w:r>
      <w:r w:rsidR="00743F31">
        <w:t>6</w:t>
      </w:r>
      <w:r>
        <w:t xml:space="preserve"> regular session</w:t>
      </w:r>
    </w:p>
    <w:p w14:paraId="3EF6CDA8" w14:textId="77777777" w:rsidR="00CD36CF" w:rsidRDefault="005B4B01" w:rsidP="00CC1F3B">
      <w:pPr>
        <w:pStyle w:val="TitlePageBillPrefix"/>
      </w:pPr>
      <w:sdt>
        <w:sdtPr>
          <w:tag w:val="IntroDate"/>
          <w:id w:val="-1236936958"/>
          <w:placeholder>
            <w:docPart w:val="12C1CCC091AC4CED872288B3256A7138"/>
          </w:placeholder>
          <w:text/>
        </w:sdtPr>
        <w:sdtEndPr/>
        <w:sdtContent>
          <w:r w:rsidR="00AE48A0">
            <w:t>Introduced</w:t>
          </w:r>
        </w:sdtContent>
      </w:sdt>
    </w:p>
    <w:p w14:paraId="1D3C76CE" w14:textId="0EE489E9" w:rsidR="00CD36CF" w:rsidRDefault="005B4B01" w:rsidP="00CC1F3B">
      <w:pPr>
        <w:pStyle w:val="BillNumber"/>
      </w:pPr>
      <w:sdt>
        <w:sdtPr>
          <w:tag w:val="Chamber"/>
          <w:id w:val="893011969"/>
          <w:lock w:val="sdtLocked"/>
          <w:placeholder>
            <w:docPart w:val="099FEF948440450BB369B83AD75598C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6CE54E4926F4254ADA92CBA4097057A"/>
          </w:placeholder>
          <w:text/>
        </w:sdtPr>
        <w:sdtEndPr/>
        <w:sdtContent>
          <w:r w:rsidR="009A64F4">
            <w:t>554</w:t>
          </w:r>
        </w:sdtContent>
      </w:sdt>
    </w:p>
    <w:p w14:paraId="33A68F55" w14:textId="6127E8CE" w:rsidR="00CD36CF" w:rsidRDefault="00CD36CF" w:rsidP="00CC1F3B">
      <w:pPr>
        <w:pStyle w:val="Sponsors"/>
      </w:pPr>
      <w:r>
        <w:t xml:space="preserve">By </w:t>
      </w:r>
      <w:sdt>
        <w:sdtPr>
          <w:tag w:val="Sponsors"/>
          <w:id w:val="1589585889"/>
          <w:placeholder>
            <w:docPart w:val="FDE046A0BAE34C8CA2F5E73E7EF86D4A"/>
          </w:placeholder>
          <w:text w:multiLine="1"/>
        </w:sdtPr>
        <w:sdtEndPr/>
        <w:sdtContent>
          <w:r w:rsidR="00B84821">
            <w:t>Senator Woelfel</w:t>
          </w:r>
        </w:sdtContent>
      </w:sdt>
    </w:p>
    <w:p w14:paraId="17D58932" w14:textId="196A2743" w:rsidR="00E831B3" w:rsidRDefault="00CD36CF" w:rsidP="00CC1F3B">
      <w:pPr>
        <w:pStyle w:val="References"/>
      </w:pPr>
      <w:r>
        <w:t>[</w:t>
      </w:r>
      <w:sdt>
        <w:sdtPr>
          <w:tag w:val="References"/>
          <w:id w:val="-1043047873"/>
          <w:placeholder>
            <w:docPart w:val="60A6DE67F9B74DFC93FC08B3777F051B"/>
          </w:placeholder>
          <w:text w:multiLine="1"/>
        </w:sdtPr>
        <w:sdtEndPr/>
        <w:sdtContent>
          <w:r w:rsidR="00490F7F">
            <w:t>Introduced</w:t>
          </w:r>
          <w:r w:rsidR="009A64F4">
            <w:t xml:space="preserve"> January 21, 2026</w:t>
          </w:r>
          <w:r w:rsidR="00490F7F">
            <w:t>; referred</w:t>
          </w:r>
          <w:r w:rsidR="00490F7F">
            <w:br/>
            <w:t>to the Committee on</w:t>
          </w:r>
        </w:sdtContent>
      </w:sdt>
      <w:r w:rsidR="00F15631">
        <w:t xml:space="preserve"> Education; and then to the Committee on Finance</w:t>
      </w:r>
      <w:r>
        <w:t>]</w:t>
      </w:r>
    </w:p>
    <w:p w14:paraId="75FD0A6B" w14:textId="698B77F2" w:rsidR="00303684" w:rsidRDefault="0000526A" w:rsidP="00CC1F3B">
      <w:pPr>
        <w:pStyle w:val="TitleSection"/>
      </w:pPr>
      <w:r>
        <w:lastRenderedPageBreak/>
        <w:t>A BILL</w:t>
      </w:r>
      <w:r w:rsidR="00B84821">
        <w:t xml:space="preserve"> </w:t>
      </w:r>
      <w:r w:rsidR="00B84821" w:rsidRPr="001C0CA3">
        <w:t>to amend the Code of West Virginia, 1931, as amended, by adding a new section, designated §18-9A-27, relating to</w:t>
      </w:r>
      <w:r w:rsidR="00B84821">
        <w:t xml:space="preserve"> public school support;</w:t>
      </w:r>
      <w:r w:rsidR="00845AB4">
        <w:t xml:space="preserve"> establishing an enrollment stabilizer mechanism within the </w:t>
      </w:r>
      <w:proofErr w:type="gramStart"/>
      <w:r w:rsidR="00845AB4">
        <w:t>public school</w:t>
      </w:r>
      <w:proofErr w:type="gramEnd"/>
      <w:r w:rsidR="00845AB4">
        <w:t xml:space="preserve"> support plan; providing for additional enrollment stability protections for rural counties; and providing for rulemaking.</w:t>
      </w:r>
    </w:p>
    <w:p w14:paraId="2C827AED" w14:textId="38B31EB8" w:rsidR="008736AA" w:rsidRDefault="00303684" w:rsidP="00B84821">
      <w:pPr>
        <w:pStyle w:val="EnactingClause"/>
      </w:pPr>
      <w:r>
        <w:t>Be it enacted by the Legislature of West Virginia:</w:t>
      </w:r>
    </w:p>
    <w:p w14:paraId="0475D1D1" w14:textId="77777777" w:rsidR="00490F7F" w:rsidRDefault="00490F7F" w:rsidP="00313D2E">
      <w:pPr>
        <w:pStyle w:val="SectionHeading"/>
        <w:rPr>
          <w:u w:val="single"/>
        </w:rPr>
        <w:sectPr w:rsidR="00490F7F" w:rsidSect="00490F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DB55C3" w14:textId="458A8048" w:rsidR="00490F7F" w:rsidRDefault="00490F7F" w:rsidP="00490F7F">
      <w:pPr>
        <w:pStyle w:val="ArticleHeading"/>
        <w:rPr>
          <w:u w:val="single"/>
        </w:rPr>
      </w:pPr>
      <w:r>
        <w:t>ARTICLE 9A. PUBLIC SCHOOL SUPPORT.</w:t>
      </w:r>
      <w:r>
        <w:rPr>
          <w:u w:val="single"/>
        </w:rPr>
        <w:t xml:space="preserve"> </w:t>
      </w:r>
    </w:p>
    <w:p w14:paraId="4BA48666" w14:textId="57788160" w:rsidR="00B84821" w:rsidRPr="00B84821" w:rsidRDefault="00B84821" w:rsidP="00313D2E">
      <w:pPr>
        <w:pStyle w:val="SectionHeading"/>
        <w:rPr>
          <w:u w:val="single"/>
        </w:rPr>
      </w:pPr>
      <w:r w:rsidRPr="00B84821">
        <w:rPr>
          <w:u w:val="single"/>
        </w:rPr>
        <w:t>§18-9A-27. Enrollment stabilizer for budget planning.</w:t>
      </w:r>
    </w:p>
    <w:p w14:paraId="7F7D1FFD" w14:textId="23FE94D6" w:rsidR="009B063F" w:rsidRDefault="009B063F" w:rsidP="00313D2E">
      <w:pPr>
        <w:pStyle w:val="SectionBody"/>
        <w:rPr>
          <w:bCs/>
          <w:u w:val="single"/>
        </w:rPr>
      </w:pPr>
      <w:r w:rsidRPr="009B063F">
        <w:rPr>
          <w:bCs/>
          <w:u w:val="single"/>
        </w:rPr>
        <w:t xml:space="preserve">(a) The purpose of this section is to </w:t>
      </w:r>
      <w:r>
        <w:rPr>
          <w:bCs/>
          <w:u w:val="single"/>
        </w:rPr>
        <w:t>provide for greater predictability and stability in county board budgets and staffing by smoothing the impact of year-to-year enrollment</w:t>
      </w:r>
      <w:r w:rsidR="00D02D67">
        <w:rPr>
          <w:bCs/>
          <w:u w:val="single"/>
        </w:rPr>
        <w:t xml:space="preserve"> changes used to calculate state aid under this article.</w:t>
      </w:r>
    </w:p>
    <w:p w14:paraId="254B95AC" w14:textId="36B303D4" w:rsidR="00D02D67" w:rsidRDefault="00D02D67" w:rsidP="00313D2E">
      <w:pPr>
        <w:pStyle w:val="SectionBody"/>
        <w:rPr>
          <w:bCs/>
          <w:u w:val="single"/>
        </w:rPr>
      </w:pPr>
      <w:r>
        <w:rPr>
          <w:bCs/>
          <w:u w:val="single"/>
        </w:rPr>
        <w:t xml:space="preserve">(b) </w:t>
      </w:r>
      <w:r>
        <w:rPr>
          <w:bCs/>
          <w:i/>
          <w:iCs/>
          <w:u w:val="single"/>
        </w:rPr>
        <w:t>Enrollment stabilizer</w:t>
      </w:r>
      <w:r>
        <w:rPr>
          <w:bCs/>
          <w:u w:val="single"/>
        </w:rPr>
        <w:t>. – Notwithstanding any other provision of this code to the contrary, for each county board, the net enrollment used in calculating state aid under this article for any school year shall be the greater of:</w:t>
      </w:r>
    </w:p>
    <w:p w14:paraId="1941BD9E" w14:textId="01B56A65" w:rsidR="00D02D67" w:rsidRDefault="00D02D67" w:rsidP="00313D2E">
      <w:pPr>
        <w:pStyle w:val="SectionBody"/>
        <w:rPr>
          <w:bCs/>
          <w:u w:val="single"/>
        </w:rPr>
      </w:pPr>
      <w:r>
        <w:rPr>
          <w:bCs/>
          <w:u w:val="single"/>
        </w:rPr>
        <w:t xml:space="preserve">(1) The actual net enrollment for the most recent school year as otherwise calculated by </w:t>
      </w:r>
      <w:proofErr w:type="gramStart"/>
      <w:r>
        <w:rPr>
          <w:bCs/>
          <w:u w:val="single"/>
        </w:rPr>
        <w:t>law;</w:t>
      </w:r>
      <w:proofErr w:type="gramEnd"/>
    </w:p>
    <w:p w14:paraId="385224EA" w14:textId="4FA1E66B" w:rsidR="00D02D67" w:rsidRDefault="00D02D67" w:rsidP="00313D2E">
      <w:pPr>
        <w:pStyle w:val="SectionBody"/>
        <w:rPr>
          <w:bCs/>
          <w:u w:val="single"/>
        </w:rPr>
      </w:pPr>
      <w:r>
        <w:rPr>
          <w:bCs/>
          <w:u w:val="single"/>
        </w:rPr>
        <w:t>(2) A percentage, not to exceed 98 percent, of the prior school year’s net enrollment; or</w:t>
      </w:r>
    </w:p>
    <w:p w14:paraId="5BAAFDE6" w14:textId="4D0FF1BA" w:rsidR="00D02D67" w:rsidRDefault="00D02D67" w:rsidP="00313D2E">
      <w:pPr>
        <w:pStyle w:val="SectionBody"/>
        <w:rPr>
          <w:bCs/>
          <w:u w:val="single"/>
        </w:rPr>
      </w:pPr>
      <w:r>
        <w:rPr>
          <w:bCs/>
          <w:u w:val="single"/>
        </w:rPr>
        <w:t>(3) A three-year rolling average of net enrollment, calculated as the average of the current year and the two immediately preceding school years.</w:t>
      </w:r>
    </w:p>
    <w:p w14:paraId="0F97BD4B" w14:textId="7E51A7C7" w:rsidR="00D02D67" w:rsidRDefault="00D02D67" w:rsidP="00313D2E">
      <w:pPr>
        <w:pStyle w:val="SectionBody"/>
        <w:rPr>
          <w:bCs/>
          <w:u w:val="single"/>
        </w:rPr>
      </w:pPr>
      <w:r>
        <w:rPr>
          <w:bCs/>
          <w:u w:val="single"/>
        </w:rPr>
        <w:t xml:space="preserve">(c) </w:t>
      </w:r>
      <w:r>
        <w:rPr>
          <w:bCs/>
          <w:i/>
          <w:iCs/>
          <w:u w:val="single"/>
        </w:rPr>
        <w:t>Rural stability add-on</w:t>
      </w:r>
      <w:r>
        <w:rPr>
          <w:bCs/>
          <w:u w:val="single"/>
        </w:rPr>
        <w:t>. – The state board shall, by legislative rule, establish a rural stability add-on to the enrollment stabilizer provided for in subsection (b) of this section to provide additional protection for qualifying rural counties</w:t>
      </w:r>
      <w:r w:rsidR="00845AB4">
        <w:rPr>
          <w:bCs/>
          <w:u w:val="single"/>
        </w:rPr>
        <w:t xml:space="preserve"> experiencing significant enrollment volatility. The rural stability add-on may, </w:t>
      </w:r>
      <w:proofErr w:type="gramStart"/>
      <w:r w:rsidR="00845AB4">
        <w:rPr>
          <w:bCs/>
          <w:u w:val="single"/>
        </w:rPr>
        <w:t>in</w:t>
      </w:r>
      <w:proofErr w:type="gramEnd"/>
      <w:r w:rsidR="00845AB4">
        <w:rPr>
          <w:bCs/>
          <w:u w:val="single"/>
        </w:rPr>
        <w:t xml:space="preserve"> the discretion of the state board:</w:t>
      </w:r>
    </w:p>
    <w:p w14:paraId="7B95A6B8" w14:textId="0CBBCE67" w:rsidR="00845AB4" w:rsidRDefault="00845AB4" w:rsidP="00313D2E">
      <w:pPr>
        <w:pStyle w:val="SectionBody"/>
        <w:rPr>
          <w:bCs/>
          <w:u w:val="single"/>
        </w:rPr>
      </w:pPr>
      <w:r>
        <w:rPr>
          <w:bCs/>
          <w:u w:val="single"/>
        </w:rPr>
        <w:t>(1) Adjust the percentage floor set by subsection (b), subdivision (2) of this section for qualifying counties; or</w:t>
      </w:r>
    </w:p>
    <w:p w14:paraId="02CD0269" w14:textId="01FE8C22" w:rsidR="00845AB4" w:rsidRDefault="00845AB4" w:rsidP="00313D2E">
      <w:pPr>
        <w:pStyle w:val="SectionBody"/>
        <w:rPr>
          <w:bCs/>
          <w:u w:val="single"/>
        </w:rPr>
      </w:pPr>
      <w:r>
        <w:rPr>
          <w:bCs/>
          <w:u w:val="single"/>
        </w:rPr>
        <w:t>(2) Provide an additional small-district stabilization allowance based on geographic isolation, sparsity, and local funding capacity.</w:t>
      </w:r>
    </w:p>
    <w:p w14:paraId="58A90167" w14:textId="22B2D112" w:rsidR="00845AB4" w:rsidRDefault="00845AB4" w:rsidP="00313D2E">
      <w:pPr>
        <w:pStyle w:val="SectionBody"/>
        <w:rPr>
          <w:bCs/>
          <w:u w:val="single"/>
        </w:rPr>
      </w:pPr>
      <w:r>
        <w:rPr>
          <w:bCs/>
          <w:u w:val="single"/>
        </w:rPr>
        <w:lastRenderedPageBreak/>
        <w:t xml:space="preserve">(d) The enrollment stabilizer provided for in subsection (b) of this section shall not be construed to increase the total statewide </w:t>
      </w:r>
      <w:proofErr w:type="gramStart"/>
      <w:r>
        <w:rPr>
          <w:bCs/>
          <w:u w:val="single"/>
        </w:rPr>
        <w:t>basic foundation</w:t>
      </w:r>
      <w:proofErr w:type="gramEnd"/>
      <w:r>
        <w:rPr>
          <w:bCs/>
          <w:u w:val="single"/>
        </w:rPr>
        <w:t xml:space="preserve"> program amount beyond the level appropriated by the Legislature. The state board may phase-in implementation or prorate the enrollment stabilizer if necessary to remain within appropriated funds.</w:t>
      </w:r>
    </w:p>
    <w:p w14:paraId="035BB9DF" w14:textId="47F0F762" w:rsidR="00845AB4" w:rsidRPr="00D02D67" w:rsidRDefault="00845AB4" w:rsidP="00313D2E">
      <w:pPr>
        <w:pStyle w:val="SectionBody"/>
        <w:rPr>
          <w:bCs/>
          <w:u w:val="single"/>
        </w:rPr>
      </w:pPr>
      <w:r>
        <w:rPr>
          <w:bCs/>
          <w:u w:val="single"/>
        </w:rPr>
        <w:t xml:space="preserve">(e) </w:t>
      </w:r>
      <w:r>
        <w:rPr>
          <w:u w:val="single"/>
        </w:rPr>
        <w:t xml:space="preserve">The state board shall promulgate legislative rules pursuant to §29A-3B-1 </w:t>
      </w:r>
      <w:r>
        <w:rPr>
          <w:i/>
          <w:iCs/>
          <w:u w:val="single"/>
        </w:rPr>
        <w:t>et seq.</w:t>
      </w:r>
      <w:r>
        <w:rPr>
          <w:u w:val="single"/>
        </w:rPr>
        <w:t xml:space="preserve"> of this code necessary to implement this section, including by establishing definitions, specifying eligibility for rural stability adjustments, and providing any necessary phase-in or hold-harmless provisions.</w:t>
      </w:r>
    </w:p>
    <w:p w14:paraId="740093C8" w14:textId="14166244" w:rsidR="006865E9" w:rsidRDefault="00CF1DCA" w:rsidP="00CC1F3B">
      <w:pPr>
        <w:pStyle w:val="Note"/>
      </w:pPr>
      <w:r>
        <w:t>NOTE: The</w:t>
      </w:r>
      <w:r w:rsidR="006865E9">
        <w:t xml:space="preserve"> purpose of this bill is to </w:t>
      </w:r>
      <w:r w:rsidR="006422CB">
        <w:t xml:space="preserve">provide a mechanism to smooth year-to-year enrollment fluctuations in county school systems to permit county boards </w:t>
      </w:r>
      <w:proofErr w:type="gramStart"/>
      <w:r w:rsidR="006422CB">
        <w:t xml:space="preserve">to </w:t>
      </w:r>
      <w:r w:rsidR="006422CB" w:rsidRPr="00912253">
        <w:rPr>
          <w:strike/>
          <w:color w:val="2F5496" w:themeColor="accent5" w:themeShade="BF"/>
        </w:rPr>
        <w:t>responsibility</w:t>
      </w:r>
      <w:proofErr w:type="gramEnd"/>
      <w:r w:rsidR="006422CB" w:rsidRPr="00912253">
        <w:rPr>
          <w:strike/>
        </w:rPr>
        <w:t xml:space="preserve"> </w:t>
      </w:r>
      <w:r w:rsidR="00912253" w:rsidRPr="00912253">
        <w:rPr>
          <w:color w:val="2F5496" w:themeColor="accent5" w:themeShade="BF"/>
          <w:u w:val="single"/>
        </w:rPr>
        <w:t>responsibly</w:t>
      </w:r>
      <w:r w:rsidR="00912253">
        <w:t xml:space="preserve"> </w:t>
      </w:r>
      <w:r w:rsidR="006422CB">
        <w:t xml:space="preserve">plan for staffing and services. The bill provides for an enrollment stabilizer mechanism within the </w:t>
      </w:r>
      <w:proofErr w:type="gramStart"/>
      <w:r w:rsidR="006422CB">
        <w:t>public school</w:t>
      </w:r>
      <w:proofErr w:type="gramEnd"/>
      <w:r w:rsidR="006422CB">
        <w:t xml:space="preserve"> support plan, and for additional enrollment stability protections for rural counties.</w:t>
      </w:r>
    </w:p>
    <w:p w14:paraId="55325A8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90F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D9C3" w14:textId="77777777" w:rsidR="00B84821" w:rsidRPr="00B844FE" w:rsidRDefault="00B84821" w:rsidP="00B844FE">
      <w:r>
        <w:separator/>
      </w:r>
    </w:p>
  </w:endnote>
  <w:endnote w:type="continuationSeparator" w:id="0">
    <w:p w14:paraId="3952F223" w14:textId="77777777" w:rsidR="00B84821" w:rsidRPr="00B844FE" w:rsidRDefault="00B848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0B78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18A1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FBEB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8AE5" w14:textId="77777777" w:rsidR="00490F7F" w:rsidRDefault="0049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DE5F" w14:textId="77777777" w:rsidR="00B84821" w:rsidRPr="00B844FE" w:rsidRDefault="00B84821" w:rsidP="00B844FE">
      <w:r>
        <w:separator/>
      </w:r>
    </w:p>
  </w:footnote>
  <w:footnote w:type="continuationSeparator" w:id="0">
    <w:p w14:paraId="25EA5A1C" w14:textId="77777777" w:rsidR="00B84821" w:rsidRPr="00B844FE" w:rsidRDefault="00B848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C0A2" w14:textId="77777777" w:rsidR="002A0269" w:rsidRPr="00B844FE" w:rsidRDefault="005B4B01">
    <w:pPr>
      <w:pStyle w:val="Header"/>
    </w:pPr>
    <w:sdt>
      <w:sdtPr>
        <w:id w:val="-684364211"/>
        <w:placeholder>
          <w:docPart w:val="099FEF948440450BB369B83AD75598C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9FEF948440450BB369B83AD75598C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55A6" w14:textId="4E480DF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490F7F">
      <w:t>SB</w:t>
    </w:r>
    <w:r w:rsidR="007A5259">
      <w:t xml:space="preserve"> </w:t>
    </w:r>
    <w:r w:rsidR="009A64F4">
      <w:t>554</w:t>
    </w:r>
    <w:r w:rsidR="00C33014" w:rsidRPr="002A0269">
      <w:ptab w:relativeTo="margin" w:alignment="center" w:leader="none"/>
    </w:r>
    <w:r w:rsidR="00C33014">
      <w:tab/>
    </w:r>
    <w:sdt>
      <w:sdtPr>
        <w:alias w:val="CBD Number"/>
        <w:tag w:val="CBD Number"/>
        <w:id w:val="1176923086"/>
        <w:lock w:val="sdtLocked"/>
        <w:text/>
      </w:sdtPr>
      <w:sdtEndPr/>
      <w:sdtContent>
        <w:r w:rsidR="00490F7F">
          <w:t>2026R2782</w:t>
        </w:r>
      </w:sdtContent>
    </w:sdt>
  </w:p>
  <w:p w14:paraId="5CB98BB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2C48" w14:textId="62A384BF" w:rsidR="002A0269" w:rsidRPr="002A0269" w:rsidRDefault="005B4B0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90F7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56AE6"/>
    <w:multiLevelType w:val="hybridMultilevel"/>
    <w:tmpl w:val="6526CDEE"/>
    <w:lvl w:ilvl="0" w:tplc="180E4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87793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21"/>
    <w:rsid w:val="0000526A"/>
    <w:rsid w:val="00051D37"/>
    <w:rsid w:val="000573A9"/>
    <w:rsid w:val="00085D22"/>
    <w:rsid w:val="000C5C77"/>
    <w:rsid w:val="000E3912"/>
    <w:rsid w:val="0010070F"/>
    <w:rsid w:val="001143CA"/>
    <w:rsid w:val="0015112E"/>
    <w:rsid w:val="001552E7"/>
    <w:rsid w:val="001566B4"/>
    <w:rsid w:val="001A66B7"/>
    <w:rsid w:val="001C279E"/>
    <w:rsid w:val="001D459E"/>
    <w:rsid w:val="00241FEB"/>
    <w:rsid w:val="002440F2"/>
    <w:rsid w:val="0027011C"/>
    <w:rsid w:val="00274200"/>
    <w:rsid w:val="00275740"/>
    <w:rsid w:val="002A0269"/>
    <w:rsid w:val="002B4451"/>
    <w:rsid w:val="00300960"/>
    <w:rsid w:val="00303684"/>
    <w:rsid w:val="003143F5"/>
    <w:rsid w:val="00314854"/>
    <w:rsid w:val="00394191"/>
    <w:rsid w:val="003C51CD"/>
    <w:rsid w:val="004368E0"/>
    <w:rsid w:val="00444AB5"/>
    <w:rsid w:val="00490F7F"/>
    <w:rsid w:val="004C13DD"/>
    <w:rsid w:val="004D2CC5"/>
    <w:rsid w:val="004E3441"/>
    <w:rsid w:val="00500579"/>
    <w:rsid w:val="005629D0"/>
    <w:rsid w:val="00575F35"/>
    <w:rsid w:val="005A5366"/>
    <w:rsid w:val="005B4B01"/>
    <w:rsid w:val="005D7E17"/>
    <w:rsid w:val="006210B7"/>
    <w:rsid w:val="006369EB"/>
    <w:rsid w:val="00637E73"/>
    <w:rsid w:val="006422CB"/>
    <w:rsid w:val="006865E9"/>
    <w:rsid w:val="00691F3E"/>
    <w:rsid w:val="00694BFB"/>
    <w:rsid w:val="006A106B"/>
    <w:rsid w:val="006C523D"/>
    <w:rsid w:val="006D4036"/>
    <w:rsid w:val="00743F31"/>
    <w:rsid w:val="00790A56"/>
    <w:rsid w:val="007A5259"/>
    <w:rsid w:val="007A7081"/>
    <w:rsid w:val="007D7354"/>
    <w:rsid w:val="007F1CF5"/>
    <w:rsid w:val="007F29DD"/>
    <w:rsid w:val="00834EDE"/>
    <w:rsid w:val="00845AB4"/>
    <w:rsid w:val="008736AA"/>
    <w:rsid w:val="008D275D"/>
    <w:rsid w:val="00912253"/>
    <w:rsid w:val="00980327"/>
    <w:rsid w:val="00986478"/>
    <w:rsid w:val="009A64F4"/>
    <w:rsid w:val="009B063F"/>
    <w:rsid w:val="009B5557"/>
    <w:rsid w:val="009F1067"/>
    <w:rsid w:val="00A31E01"/>
    <w:rsid w:val="00A527AD"/>
    <w:rsid w:val="00A718CF"/>
    <w:rsid w:val="00AB0024"/>
    <w:rsid w:val="00AE48A0"/>
    <w:rsid w:val="00AE61BE"/>
    <w:rsid w:val="00B16F25"/>
    <w:rsid w:val="00B24422"/>
    <w:rsid w:val="00B66B81"/>
    <w:rsid w:val="00B80C20"/>
    <w:rsid w:val="00B844FE"/>
    <w:rsid w:val="00B84821"/>
    <w:rsid w:val="00B86B4F"/>
    <w:rsid w:val="00BA1F84"/>
    <w:rsid w:val="00BC562B"/>
    <w:rsid w:val="00C158FA"/>
    <w:rsid w:val="00C32FED"/>
    <w:rsid w:val="00C33014"/>
    <w:rsid w:val="00C33434"/>
    <w:rsid w:val="00C34869"/>
    <w:rsid w:val="00C42EB6"/>
    <w:rsid w:val="00C85096"/>
    <w:rsid w:val="00CB20EF"/>
    <w:rsid w:val="00CC1F3B"/>
    <w:rsid w:val="00CC2345"/>
    <w:rsid w:val="00CD12CB"/>
    <w:rsid w:val="00CD36CF"/>
    <w:rsid w:val="00CF1DCA"/>
    <w:rsid w:val="00D02D67"/>
    <w:rsid w:val="00D21F62"/>
    <w:rsid w:val="00D579FC"/>
    <w:rsid w:val="00D81C16"/>
    <w:rsid w:val="00D92162"/>
    <w:rsid w:val="00DA348B"/>
    <w:rsid w:val="00DE526B"/>
    <w:rsid w:val="00DF199D"/>
    <w:rsid w:val="00E01542"/>
    <w:rsid w:val="00E365F1"/>
    <w:rsid w:val="00E62F48"/>
    <w:rsid w:val="00E831B3"/>
    <w:rsid w:val="00E95FBC"/>
    <w:rsid w:val="00EE70CB"/>
    <w:rsid w:val="00F1563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BF57"/>
  <w15:chartTrackingRefBased/>
  <w15:docId w15:val="{5D0FB3E7-AA6E-405B-983F-3D264DF6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4821"/>
    <w:rPr>
      <w:rFonts w:eastAsia="Calibri"/>
      <w:color w:val="000000"/>
    </w:rPr>
  </w:style>
  <w:style w:type="character" w:customStyle="1" w:styleId="SectionHeadingChar">
    <w:name w:val="Section Heading Char"/>
    <w:link w:val="SectionHeading"/>
    <w:rsid w:val="00B84821"/>
    <w:rPr>
      <w:rFonts w:eastAsia="Calibri"/>
      <w:b/>
      <w:color w:val="000000"/>
    </w:rPr>
  </w:style>
  <w:style w:type="character" w:customStyle="1" w:styleId="ArticleHeadingChar">
    <w:name w:val="Article Heading Char"/>
    <w:link w:val="ArticleHeading"/>
    <w:rsid w:val="00490F7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1CCC091AC4CED872288B3256A7138"/>
        <w:category>
          <w:name w:val="General"/>
          <w:gallery w:val="placeholder"/>
        </w:category>
        <w:types>
          <w:type w:val="bbPlcHdr"/>
        </w:types>
        <w:behaviors>
          <w:behavior w:val="content"/>
        </w:behaviors>
        <w:guid w:val="{802B7D8A-708B-4CD3-BD41-A935F5EFA297}"/>
      </w:docPartPr>
      <w:docPartBody>
        <w:p w:rsidR="00176A6E" w:rsidRDefault="00176A6E">
          <w:pPr>
            <w:pStyle w:val="12C1CCC091AC4CED872288B3256A7138"/>
          </w:pPr>
          <w:r w:rsidRPr="00B844FE">
            <w:t>Prefix Text</w:t>
          </w:r>
        </w:p>
      </w:docPartBody>
    </w:docPart>
    <w:docPart>
      <w:docPartPr>
        <w:name w:val="099FEF948440450BB369B83AD75598CF"/>
        <w:category>
          <w:name w:val="General"/>
          <w:gallery w:val="placeholder"/>
        </w:category>
        <w:types>
          <w:type w:val="bbPlcHdr"/>
        </w:types>
        <w:behaviors>
          <w:behavior w:val="content"/>
        </w:behaviors>
        <w:guid w:val="{530C3408-2624-4828-8759-33F4B4410AF1}"/>
      </w:docPartPr>
      <w:docPartBody>
        <w:p w:rsidR="00176A6E" w:rsidRDefault="00176A6E">
          <w:pPr>
            <w:pStyle w:val="099FEF948440450BB369B83AD75598CF"/>
          </w:pPr>
          <w:r w:rsidRPr="00B844FE">
            <w:t>[Type here]</w:t>
          </w:r>
        </w:p>
      </w:docPartBody>
    </w:docPart>
    <w:docPart>
      <w:docPartPr>
        <w:name w:val="16CE54E4926F4254ADA92CBA4097057A"/>
        <w:category>
          <w:name w:val="General"/>
          <w:gallery w:val="placeholder"/>
        </w:category>
        <w:types>
          <w:type w:val="bbPlcHdr"/>
        </w:types>
        <w:behaviors>
          <w:behavior w:val="content"/>
        </w:behaviors>
        <w:guid w:val="{391117F0-F91A-4D04-BEC4-97B529DC55AF}"/>
      </w:docPartPr>
      <w:docPartBody>
        <w:p w:rsidR="00176A6E" w:rsidRDefault="00176A6E">
          <w:pPr>
            <w:pStyle w:val="16CE54E4926F4254ADA92CBA4097057A"/>
          </w:pPr>
          <w:r w:rsidRPr="00B844FE">
            <w:t>Number</w:t>
          </w:r>
        </w:p>
      </w:docPartBody>
    </w:docPart>
    <w:docPart>
      <w:docPartPr>
        <w:name w:val="FDE046A0BAE34C8CA2F5E73E7EF86D4A"/>
        <w:category>
          <w:name w:val="General"/>
          <w:gallery w:val="placeholder"/>
        </w:category>
        <w:types>
          <w:type w:val="bbPlcHdr"/>
        </w:types>
        <w:behaviors>
          <w:behavior w:val="content"/>
        </w:behaviors>
        <w:guid w:val="{FDC94B6F-5E3C-4949-A798-235650193573}"/>
      </w:docPartPr>
      <w:docPartBody>
        <w:p w:rsidR="00176A6E" w:rsidRDefault="00176A6E">
          <w:pPr>
            <w:pStyle w:val="FDE046A0BAE34C8CA2F5E73E7EF86D4A"/>
          </w:pPr>
          <w:r w:rsidRPr="00B844FE">
            <w:t>Enter Sponsors Here</w:t>
          </w:r>
        </w:p>
      </w:docPartBody>
    </w:docPart>
    <w:docPart>
      <w:docPartPr>
        <w:name w:val="60A6DE67F9B74DFC93FC08B3777F051B"/>
        <w:category>
          <w:name w:val="General"/>
          <w:gallery w:val="placeholder"/>
        </w:category>
        <w:types>
          <w:type w:val="bbPlcHdr"/>
        </w:types>
        <w:behaviors>
          <w:behavior w:val="content"/>
        </w:behaviors>
        <w:guid w:val="{2F763893-CBB6-4BA1-A3FA-4781C03D8900}"/>
      </w:docPartPr>
      <w:docPartBody>
        <w:p w:rsidR="00176A6E" w:rsidRDefault="00176A6E">
          <w:pPr>
            <w:pStyle w:val="60A6DE67F9B74DFC93FC08B3777F05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E"/>
    <w:rsid w:val="00176A6E"/>
    <w:rsid w:val="002440F2"/>
    <w:rsid w:val="00300960"/>
    <w:rsid w:val="00444AB5"/>
    <w:rsid w:val="00CC2345"/>
    <w:rsid w:val="00D21F62"/>
    <w:rsid w:val="00D92162"/>
    <w:rsid w:val="00DA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C1CCC091AC4CED872288B3256A7138">
    <w:name w:val="12C1CCC091AC4CED872288B3256A7138"/>
  </w:style>
  <w:style w:type="paragraph" w:customStyle="1" w:styleId="099FEF948440450BB369B83AD75598CF">
    <w:name w:val="099FEF948440450BB369B83AD75598CF"/>
  </w:style>
  <w:style w:type="paragraph" w:customStyle="1" w:styleId="16CE54E4926F4254ADA92CBA4097057A">
    <w:name w:val="16CE54E4926F4254ADA92CBA4097057A"/>
  </w:style>
  <w:style w:type="paragraph" w:customStyle="1" w:styleId="FDE046A0BAE34C8CA2F5E73E7EF86D4A">
    <w:name w:val="FDE046A0BAE34C8CA2F5E73E7EF86D4A"/>
  </w:style>
  <w:style w:type="character" w:styleId="PlaceholderText">
    <w:name w:val="Placeholder Text"/>
    <w:basedOn w:val="DefaultParagraphFont"/>
    <w:uiPriority w:val="99"/>
    <w:semiHidden/>
    <w:rPr>
      <w:color w:val="808080"/>
    </w:rPr>
  </w:style>
  <w:style w:type="paragraph" w:customStyle="1" w:styleId="60A6DE67F9B74DFC93FC08B3777F051B">
    <w:name w:val="60A6DE67F9B74DFC93FC08B3777F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3</Pages>
  <Words>479</Words>
  <Characters>2781</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8</cp:revision>
  <dcterms:created xsi:type="dcterms:W3CDTF">2026-01-15T18:33:00Z</dcterms:created>
  <dcterms:modified xsi:type="dcterms:W3CDTF">2026-01-20T21:36:00Z</dcterms:modified>
</cp:coreProperties>
</file>