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373D" w14:textId="77777777" w:rsidR="00FE067E" w:rsidRPr="00A27E77" w:rsidRDefault="003C6034" w:rsidP="00CC1F3B">
      <w:pPr>
        <w:pStyle w:val="TitlePageOrigin"/>
        <w:rPr>
          <w:color w:val="auto"/>
        </w:rPr>
      </w:pPr>
      <w:r w:rsidRPr="00A27E77">
        <w:rPr>
          <w:caps w:val="0"/>
          <w:color w:val="auto"/>
        </w:rPr>
        <w:t>WEST VIRGINIA LEGISLATURE</w:t>
      </w:r>
    </w:p>
    <w:p w14:paraId="2DDCF734" w14:textId="77777777" w:rsidR="00CD36CF" w:rsidRPr="00A27E77" w:rsidRDefault="00CD36CF" w:rsidP="00CC1F3B">
      <w:pPr>
        <w:pStyle w:val="TitlePageSession"/>
        <w:rPr>
          <w:color w:val="auto"/>
        </w:rPr>
      </w:pPr>
      <w:r w:rsidRPr="00A27E77">
        <w:rPr>
          <w:color w:val="auto"/>
        </w:rPr>
        <w:t>20</w:t>
      </w:r>
      <w:r w:rsidR="00EC5E63" w:rsidRPr="00A27E77">
        <w:rPr>
          <w:color w:val="auto"/>
        </w:rPr>
        <w:t>2</w:t>
      </w:r>
      <w:r w:rsidR="0020151F" w:rsidRPr="00A27E77">
        <w:rPr>
          <w:color w:val="auto"/>
        </w:rPr>
        <w:t>6</w:t>
      </w:r>
      <w:r w:rsidRPr="00A27E77">
        <w:rPr>
          <w:color w:val="auto"/>
        </w:rPr>
        <w:t xml:space="preserve"> </w:t>
      </w:r>
      <w:r w:rsidR="003C6034" w:rsidRPr="00A27E77">
        <w:rPr>
          <w:caps w:val="0"/>
          <w:color w:val="auto"/>
        </w:rPr>
        <w:t>REGULAR SESSION</w:t>
      </w:r>
    </w:p>
    <w:p w14:paraId="110449C7" w14:textId="77777777" w:rsidR="00CD36CF" w:rsidRPr="00A27E77" w:rsidRDefault="00F1608B" w:rsidP="00CC1F3B">
      <w:pPr>
        <w:pStyle w:val="TitlePageBillPrefix"/>
        <w:rPr>
          <w:color w:val="auto"/>
        </w:rPr>
      </w:pPr>
      <w:sdt>
        <w:sdtPr>
          <w:rPr>
            <w:color w:val="auto"/>
          </w:rPr>
          <w:tag w:val="IntroDate"/>
          <w:id w:val="-1236936958"/>
          <w:placeholder>
            <w:docPart w:val="085C252A1B7E4A9AA2EB20C371CF8898"/>
          </w:placeholder>
          <w:text/>
        </w:sdtPr>
        <w:sdtEndPr/>
        <w:sdtContent>
          <w:r w:rsidR="00AE48A0" w:rsidRPr="00A27E77">
            <w:rPr>
              <w:color w:val="auto"/>
            </w:rPr>
            <w:t>Introduced</w:t>
          </w:r>
        </w:sdtContent>
      </w:sdt>
    </w:p>
    <w:p w14:paraId="6C8F207F" w14:textId="65ED265E" w:rsidR="00CD36CF" w:rsidRPr="00A27E77" w:rsidRDefault="00F1608B" w:rsidP="00CC1F3B">
      <w:pPr>
        <w:pStyle w:val="BillNumber"/>
        <w:rPr>
          <w:color w:val="auto"/>
        </w:rPr>
      </w:pPr>
      <w:sdt>
        <w:sdtPr>
          <w:rPr>
            <w:color w:val="auto"/>
          </w:rPr>
          <w:tag w:val="Chamber"/>
          <w:id w:val="893011969"/>
          <w:lock w:val="sdtLocked"/>
          <w:placeholder>
            <w:docPart w:val="B1471DEF98FC411BA9D1279E3EFDED1D"/>
          </w:placeholder>
          <w:dropDownList>
            <w:listItem w:displayText="House" w:value="House"/>
            <w:listItem w:displayText="Senate" w:value="Senate"/>
          </w:dropDownList>
        </w:sdtPr>
        <w:sdtEndPr/>
        <w:sdtContent>
          <w:r w:rsidR="006031EB" w:rsidRPr="00A27E77">
            <w:rPr>
              <w:color w:val="auto"/>
            </w:rPr>
            <w:t>Senate</w:t>
          </w:r>
        </w:sdtContent>
      </w:sdt>
      <w:r w:rsidR="00303684" w:rsidRPr="00A27E77">
        <w:rPr>
          <w:color w:val="auto"/>
        </w:rPr>
        <w:t xml:space="preserve"> </w:t>
      </w:r>
      <w:r w:rsidR="00CD36CF" w:rsidRPr="00A27E77">
        <w:rPr>
          <w:color w:val="auto"/>
        </w:rPr>
        <w:t xml:space="preserve">Bill </w:t>
      </w:r>
      <w:sdt>
        <w:sdtPr>
          <w:rPr>
            <w:color w:val="auto"/>
          </w:rPr>
          <w:tag w:val="BNum"/>
          <w:id w:val="1645317809"/>
          <w:lock w:val="sdtLocked"/>
          <w:placeholder>
            <w:docPart w:val="3D5E26FE08EB4CE890B5F4CF4F7959B1"/>
          </w:placeholder>
          <w:text/>
        </w:sdtPr>
        <w:sdtEndPr/>
        <w:sdtContent>
          <w:r w:rsidR="00565C49">
            <w:rPr>
              <w:color w:val="auto"/>
            </w:rPr>
            <w:t>663</w:t>
          </w:r>
        </w:sdtContent>
      </w:sdt>
    </w:p>
    <w:p w14:paraId="49DE93BC" w14:textId="4EA2862C" w:rsidR="00CD36CF" w:rsidRPr="00A27E77" w:rsidRDefault="00CD36CF" w:rsidP="00CC1F3B">
      <w:pPr>
        <w:pStyle w:val="Sponsors"/>
        <w:rPr>
          <w:color w:val="auto"/>
        </w:rPr>
      </w:pPr>
      <w:r w:rsidRPr="00A27E77">
        <w:rPr>
          <w:color w:val="auto"/>
        </w:rPr>
        <w:t xml:space="preserve">By </w:t>
      </w:r>
      <w:sdt>
        <w:sdtPr>
          <w:rPr>
            <w:color w:val="auto"/>
          </w:rPr>
          <w:tag w:val="Sponsors"/>
          <w:id w:val="1589585889"/>
          <w:placeholder>
            <w:docPart w:val="5F98E73CADB74D888D18EDE88AF67C6C"/>
          </w:placeholder>
          <w:text w:multiLine="1"/>
        </w:sdtPr>
        <w:sdtEndPr/>
        <w:sdtContent>
          <w:r w:rsidR="006031EB" w:rsidRPr="00A27E77">
            <w:rPr>
              <w:color w:val="auto"/>
            </w:rPr>
            <w:t>Senator Chapman</w:t>
          </w:r>
        </w:sdtContent>
      </w:sdt>
    </w:p>
    <w:p w14:paraId="7AD666D7" w14:textId="1F0406F6" w:rsidR="00E831B3" w:rsidRPr="00A27E77" w:rsidRDefault="00CD36CF" w:rsidP="00CC1F3B">
      <w:pPr>
        <w:pStyle w:val="References"/>
        <w:rPr>
          <w:color w:val="auto"/>
        </w:rPr>
      </w:pPr>
      <w:r w:rsidRPr="00A27E77">
        <w:rPr>
          <w:color w:val="auto"/>
        </w:rPr>
        <w:t>[</w:t>
      </w:r>
      <w:sdt>
        <w:sdtPr>
          <w:rPr>
            <w:color w:val="auto"/>
          </w:rPr>
          <w:tag w:val="References"/>
          <w:id w:val="-1043047873"/>
          <w:placeholder>
            <w:docPart w:val="D9C2D743B1E14C9CB4F8B65D4DAE6A7B"/>
          </w:placeholder>
          <w:text w:multiLine="1"/>
        </w:sdtPr>
        <w:sdtEndPr/>
        <w:sdtContent>
          <w:r w:rsidR="00093AB0" w:rsidRPr="00A27E77">
            <w:rPr>
              <w:color w:val="auto"/>
            </w:rPr>
            <w:t>Introduced</w:t>
          </w:r>
          <w:r w:rsidR="00565C49">
            <w:rPr>
              <w:color w:val="auto"/>
            </w:rPr>
            <w:t xml:space="preserve"> January 29, 2026</w:t>
          </w:r>
          <w:r w:rsidR="00093AB0" w:rsidRPr="00A27E77">
            <w:rPr>
              <w:color w:val="auto"/>
            </w:rPr>
            <w:t>; referred</w:t>
          </w:r>
          <w:r w:rsidR="00093AB0" w:rsidRPr="00A27E77">
            <w:rPr>
              <w:color w:val="auto"/>
            </w:rPr>
            <w:br/>
            <w:t>to the Committee on</w:t>
          </w:r>
          <w:r w:rsidR="00661C89">
            <w:rPr>
              <w:color w:val="auto"/>
            </w:rPr>
            <w:t xml:space="preserve"> Health and Human Resources; and then to the Committee on the Judiciary</w:t>
          </w:r>
        </w:sdtContent>
      </w:sdt>
      <w:r w:rsidRPr="00A27E77">
        <w:rPr>
          <w:color w:val="auto"/>
        </w:rPr>
        <w:t>]</w:t>
      </w:r>
    </w:p>
    <w:p w14:paraId="0E343441" w14:textId="3C18A967" w:rsidR="00303684" w:rsidRPr="00A27E77" w:rsidRDefault="0000526A" w:rsidP="00CC1F3B">
      <w:pPr>
        <w:pStyle w:val="TitleSection"/>
        <w:rPr>
          <w:color w:val="auto"/>
        </w:rPr>
      </w:pPr>
      <w:r w:rsidRPr="00A27E77">
        <w:rPr>
          <w:color w:val="auto"/>
        </w:rPr>
        <w:lastRenderedPageBreak/>
        <w:t>A BILL</w:t>
      </w:r>
      <w:r w:rsidR="00410248" w:rsidRPr="00A27E77">
        <w:rPr>
          <w:color w:val="auto"/>
        </w:rPr>
        <w:t xml:space="preserve"> to amend and reenact §51-2A-7 of the Code of West Virginia, 1931, as amended, relating to prohibiting a family court judge to order a medical procedure or medical treatment for a child if a parent objects. </w:t>
      </w:r>
    </w:p>
    <w:p w14:paraId="03C555B1" w14:textId="77777777" w:rsidR="00303684" w:rsidRPr="00A27E77" w:rsidRDefault="00303684" w:rsidP="00CC1F3B">
      <w:pPr>
        <w:pStyle w:val="EnactingClause"/>
        <w:rPr>
          <w:color w:val="auto"/>
        </w:rPr>
      </w:pPr>
      <w:r w:rsidRPr="00A27E77">
        <w:rPr>
          <w:color w:val="auto"/>
        </w:rPr>
        <w:t>Be it enacted by the Legislature of West Virginia:</w:t>
      </w:r>
    </w:p>
    <w:p w14:paraId="447523FE" w14:textId="77777777" w:rsidR="003C6034" w:rsidRPr="00A27E77" w:rsidRDefault="003C6034" w:rsidP="00CC1F3B">
      <w:pPr>
        <w:pStyle w:val="EnactingClause"/>
        <w:rPr>
          <w:color w:val="auto"/>
        </w:rPr>
        <w:sectPr w:rsidR="003C6034" w:rsidRPr="00A27E77" w:rsidSect="006031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05E1B2" w14:textId="77777777" w:rsidR="006031EB" w:rsidRPr="00A27E77" w:rsidRDefault="006031EB" w:rsidP="00F81BBF">
      <w:pPr>
        <w:pStyle w:val="ArticleHeading"/>
        <w:rPr>
          <w:color w:val="auto"/>
        </w:rPr>
        <w:sectPr w:rsidR="006031EB" w:rsidRPr="00A27E77" w:rsidSect="006031EB">
          <w:type w:val="continuous"/>
          <w:pgSz w:w="12240" w:h="15840" w:code="1"/>
          <w:pgMar w:top="1440" w:right="1440" w:bottom="1440" w:left="1440" w:header="720" w:footer="720" w:gutter="0"/>
          <w:lnNumType w:countBy="1" w:restart="newSection"/>
          <w:cols w:space="720"/>
          <w:titlePg/>
          <w:docGrid w:linePitch="360"/>
        </w:sectPr>
      </w:pPr>
      <w:r w:rsidRPr="00A27E77">
        <w:rPr>
          <w:color w:val="auto"/>
        </w:rPr>
        <w:t>ARTICLE 2A. FAMILY COURTS.</w:t>
      </w:r>
    </w:p>
    <w:p w14:paraId="12D119A4" w14:textId="77777777" w:rsidR="006031EB" w:rsidRPr="00A27E77" w:rsidRDefault="006031EB" w:rsidP="00A23AE9">
      <w:pPr>
        <w:pStyle w:val="SectionHeading"/>
        <w:rPr>
          <w:color w:val="auto"/>
        </w:rPr>
      </w:pPr>
      <w:r w:rsidRPr="00A27E77">
        <w:rPr>
          <w:color w:val="auto"/>
        </w:rPr>
        <w:t>§51-2A-7. Powers; administrative and judicial functions of family court judge.</w:t>
      </w:r>
    </w:p>
    <w:p w14:paraId="7AD16AD0" w14:textId="77777777" w:rsidR="006031EB" w:rsidRPr="00A27E77" w:rsidRDefault="006031EB" w:rsidP="00A23AE9">
      <w:pPr>
        <w:pStyle w:val="SectionBody"/>
        <w:rPr>
          <w:color w:val="auto"/>
        </w:rPr>
      </w:pPr>
      <w:r w:rsidRPr="00A27E77">
        <w:rPr>
          <w:color w:val="auto"/>
        </w:rPr>
        <w:t>(a) The family court judge will exercise any power or authority provided in this article, in chapter forty-eight of this code or as otherwise provided by general law. Additionally, the family court judge has the authority to:</w:t>
      </w:r>
    </w:p>
    <w:p w14:paraId="4EFB9D48" w14:textId="77777777" w:rsidR="006031EB" w:rsidRPr="00A27E77" w:rsidRDefault="006031EB" w:rsidP="00A23AE9">
      <w:pPr>
        <w:pStyle w:val="SectionBody"/>
        <w:rPr>
          <w:color w:val="auto"/>
        </w:rPr>
      </w:pPr>
      <w:r w:rsidRPr="00A27E77">
        <w:rPr>
          <w:color w:val="auto"/>
        </w:rPr>
        <w:t xml:space="preserve">(1) Manage the business before </w:t>
      </w:r>
      <w:proofErr w:type="gramStart"/>
      <w:r w:rsidRPr="00A27E77">
        <w:rPr>
          <w:color w:val="auto"/>
        </w:rPr>
        <w:t>them;</w:t>
      </w:r>
      <w:proofErr w:type="gramEnd"/>
    </w:p>
    <w:p w14:paraId="25CDA667" w14:textId="77777777" w:rsidR="006031EB" w:rsidRPr="00A27E77" w:rsidRDefault="006031EB" w:rsidP="00A23AE9">
      <w:pPr>
        <w:pStyle w:val="SectionBody"/>
        <w:rPr>
          <w:color w:val="auto"/>
        </w:rPr>
      </w:pPr>
      <w:r w:rsidRPr="00A27E77">
        <w:rPr>
          <w:color w:val="auto"/>
        </w:rPr>
        <w:t xml:space="preserve">(2) Summon witnesses and compel their attendance in </w:t>
      </w:r>
      <w:proofErr w:type="gramStart"/>
      <w:r w:rsidRPr="00A27E77">
        <w:rPr>
          <w:color w:val="auto"/>
        </w:rPr>
        <w:t>court;</w:t>
      </w:r>
      <w:proofErr w:type="gramEnd"/>
    </w:p>
    <w:p w14:paraId="5D758FB0" w14:textId="77777777" w:rsidR="006031EB" w:rsidRPr="00A27E77" w:rsidRDefault="006031EB" w:rsidP="00A23AE9">
      <w:pPr>
        <w:pStyle w:val="SectionBody"/>
        <w:rPr>
          <w:color w:val="auto"/>
        </w:rPr>
      </w:pPr>
      <w:r w:rsidRPr="00A27E77">
        <w:rPr>
          <w:color w:val="auto"/>
        </w:rPr>
        <w:t xml:space="preserve">(3) Exercise reasonable control over </w:t>
      </w:r>
      <w:proofErr w:type="gramStart"/>
      <w:r w:rsidRPr="00A27E77">
        <w:rPr>
          <w:color w:val="auto"/>
        </w:rPr>
        <w:t>discovery;</w:t>
      </w:r>
      <w:proofErr w:type="gramEnd"/>
    </w:p>
    <w:p w14:paraId="02163DB7" w14:textId="77777777" w:rsidR="006031EB" w:rsidRPr="00A27E77" w:rsidRDefault="006031EB" w:rsidP="00A23AE9">
      <w:pPr>
        <w:pStyle w:val="SectionBody"/>
        <w:rPr>
          <w:color w:val="auto"/>
        </w:rPr>
      </w:pPr>
      <w:r w:rsidRPr="00A27E77">
        <w:rPr>
          <w:color w:val="auto"/>
        </w:rPr>
        <w:t xml:space="preserve">(4) Compel and supervise the production of evidence, including criminal background investigations when </w:t>
      </w:r>
      <w:proofErr w:type="gramStart"/>
      <w:r w:rsidRPr="00A27E77">
        <w:rPr>
          <w:color w:val="auto"/>
        </w:rPr>
        <w:t>appropriate;</w:t>
      </w:r>
      <w:proofErr w:type="gramEnd"/>
    </w:p>
    <w:p w14:paraId="2A4A42BD" w14:textId="77777777" w:rsidR="006031EB" w:rsidRPr="00A27E77" w:rsidRDefault="006031EB" w:rsidP="00A23AE9">
      <w:pPr>
        <w:pStyle w:val="SectionBody"/>
        <w:rPr>
          <w:color w:val="auto"/>
        </w:rPr>
      </w:pPr>
      <w:r w:rsidRPr="00A27E77">
        <w:rPr>
          <w:color w:val="auto"/>
        </w:rPr>
        <w:t xml:space="preserve">(5) Discipline </w:t>
      </w:r>
      <w:proofErr w:type="gramStart"/>
      <w:r w:rsidRPr="00A27E77">
        <w:rPr>
          <w:color w:val="auto"/>
        </w:rPr>
        <w:t>attorneys;</w:t>
      </w:r>
      <w:proofErr w:type="gramEnd"/>
    </w:p>
    <w:p w14:paraId="7DEF1B69" w14:textId="77777777" w:rsidR="006031EB" w:rsidRPr="00A27E77" w:rsidRDefault="006031EB" w:rsidP="00A23AE9">
      <w:pPr>
        <w:pStyle w:val="SectionBody"/>
        <w:rPr>
          <w:color w:val="auto"/>
        </w:rPr>
      </w:pPr>
      <w:r w:rsidRPr="00A27E77">
        <w:rPr>
          <w:color w:val="auto"/>
        </w:rPr>
        <w:t>(6) Prevent abuse of process; and</w:t>
      </w:r>
    </w:p>
    <w:p w14:paraId="58FB7850" w14:textId="77777777" w:rsidR="006031EB" w:rsidRPr="00A27E77" w:rsidRDefault="006031EB" w:rsidP="00A23AE9">
      <w:pPr>
        <w:pStyle w:val="SectionBody"/>
        <w:rPr>
          <w:color w:val="auto"/>
        </w:rPr>
      </w:pPr>
      <w:r w:rsidRPr="00A27E77">
        <w:rPr>
          <w:color w:val="auto"/>
        </w:rPr>
        <w:t>(7) Correct errors in a record.</w:t>
      </w:r>
    </w:p>
    <w:p w14:paraId="424387EE" w14:textId="77777777" w:rsidR="006031EB" w:rsidRPr="00A27E77" w:rsidRDefault="006031EB" w:rsidP="00A23AE9">
      <w:pPr>
        <w:pStyle w:val="SectionBody"/>
        <w:rPr>
          <w:color w:val="auto"/>
        </w:rPr>
      </w:pPr>
      <w:r w:rsidRPr="00A27E77">
        <w:rPr>
          <w:color w:val="auto"/>
        </w:rPr>
        <w:t xml:space="preserve">(b) The family court judge has responsibility for the supervision and administration of the family court. A family court judge may promulgate local administrative rules governing the conduct and administration of the family court. In family court circuits with more than one family court judge, all family court judges must agree to the rules. If </w:t>
      </w:r>
      <w:proofErr w:type="gramStart"/>
      <w:r w:rsidRPr="00A27E77">
        <w:rPr>
          <w:color w:val="auto"/>
        </w:rPr>
        <w:t>all of</w:t>
      </w:r>
      <w:proofErr w:type="gramEnd"/>
      <w:r w:rsidRPr="00A27E77">
        <w:rPr>
          <w:color w:val="auto"/>
        </w:rPr>
        <w:t xml:space="preserve"> the family court judges in a family court circuit cannot agree, the chief judge of each circuit court in the counties in which the family court circuit is located shall promulgate the local administrative rules. If the chief judges of the circuit courts cannot agree, the Supreme Court of Appeals may promulgate the local administrative rules. Local administrative rules are subordinate and subject to the rules of the Supreme Court of Appeals or the orders of the chief justice. Rules promulgated by the family or </w:t>
      </w:r>
      <w:r w:rsidRPr="00A27E77">
        <w:rPr>
          <w:color w:val="auto"/>
        </w:rPr>
        <w:lastRenderedPageBreak/>
        <w:t>circuit court are made by order entered upon the order book of the circuit court and are effective when filed with the Clerk of the Supreme Court of Appeals.</w:t>
      </w:r>
    </w:p>
    <w:p w14:paraId="33C27A65" w14:textId="77777777" w:rsidR="006031EB" w:rsidRPr="00A27E77" w:rsidRDefault="006031EB" w:rsidP="00A23AE9">
      <w:pPr>
        <w:pStyle w:val="SectionBody"/>
        <w:rPr>
          <w:color w:val="auto"/>
        </w:rPr>
      </w:pPr>
      <w:r w:rsidRPr="00A27E77">
        <w:rPr>
          <w:color w:val="auto"/>
        </w:rPr>
        <w:t>(c) Prior to the 2003 regular session of the Legislature and annually thereafter, the Supreme Court of Appeals shall report to the Legislature on the caseload in each family court circuit and shall recommend changes to the management of the family court as the Supreme Court of Appeals deems warranted or necessary to improve the family court.</w:t>
      </w:r>
    </w:p>
    <w:p w14:paraId="4126ACE8" w14:textId="3C35A430" w:rsidR="006031EB" w:rsidRPr="00A27E77" w:rsidRDefault="006031EB" w:rsidP="00CC1F3B">
      <w:pPr>
        <w:pStyle w:val="SectionBody"/>
        <w:rPr>
          <w:color w:val="auto"/>
        </w:rPr>
      </w:pPr>
      <w:r w:rsidRPr="00A27E77">
        <w:rPr>
          <w:color w:val="auto"/>
        </w:rPr>
        <w:t>(d) The Supreme Court of Appeals shall promulgate a procedural rule to establish time-keeping requirements for family court judges, family case coordinators and secretary-clerks of family court judges so as to assure the maximum funding of incentive payments, grants and other funding sources available to the state for the processing of cases filed for the location of absent parents, the establishment of paternity and the establishment, modification and enforcement of child support orders.</w:t>
      </w:r>
    </w:p>
    <w:p w14:paraId="33B72486" w14:textId="69B46C24" w:rsidR="00410248" w:rsidRPr="00A27E77" w:rsidRDefault="00410248" w:rsidP="00CC1F3B">
      <w:pPr>
        <w:pStyle w:val="SectionBody"/>
        <w:rPr>
          <w:color w:val="auto"/>
          <w:u w:val="single"/>
        </w:rPr>
      </w:pPr>
      <w:proofErr w:type="gramStart"/>
      <w:r w:rsidRPr="00A27E77">
        <w:rPr>
          <w:color w:val="auto"/>
          <w:u w:val="single"/>
        </w:rPr>
        <w:t>(e) Except</w:t>
      </w:r>
      <w:proofErr w:type="gramEnd"/>
      <w:r w:rsidRPr="00A27E77">
        <w:rPr>
          <w:color w:val="auto"/>
          <w:u w:val="single"/>
        </w:rPr>
        <w:t xml:space="preserve"> in cases of medical neglect, a family court judge may not order a medical procedure or treatment of a child if a parent objects to such medical procedure or treatment.  </w:t>
      </w:r>
    </w:p>
    <w:p w14:paraId="63D95EAB" w14:textId="77777777" w:rsidR="00C33014" w:rsidRPr="00A27E77" w:rsidRDefault="00C33014" w:rsidP="00CC1F3B">
      <w:pPr>
        <w:pStyle w:val="Note"/>
        <w:rPr>
          <w:color w:val="auto"/>
        </w:rPr>
      </w:pPr>
    </w:p>
    <w:p w14:paraId="2511C26E" w14:textId="14C5AED4" w:rsidR="006865E9" w:rsidRPr="00A27E77" w:rsidRDefault="00CF1DCA" w:rsidP="00CC1F3B">
      <w:pPr>
        <w:pStyle w:val="Note"/>
        <w:rPr>
          <w:color w:val="auto"/>
        </w:rPr>
      </w:pPr>
      <w:r w:rsidRPr="00A27E77">
        <w:rPr>
          <w:color w:val="auto"/>
        </w:rPr>
        <w:t>NOTE: The</w:t>
      </w:r>
      <w:r w:rsidR="006865E9" w:rsidRPr="00A27E77">
        <w:rPr>
          <w:color w:val="auto"/>
        </w:rPr>
        <w:t xml:space="preserve"> purpose of this bill is to </w:t>
      </w:r>
      <w:r w:rsidR="00410248" w:rsidRPr="00A27E77">
        <w:rPr>
          <w:color w:val="auto"/>
        </w:rPr>
        <w:t xml:space="preserve">prohibit a family court judge from order medical treatment against the parent's wishes. </w:t>
      </w:r>
    </w:p>
    <w:p w14:paraId="355CB68D" w14:textId="77777777" w:rsidR="006865E9" w:rsidRPr="00A27E77" w:rsidRDefault="00AE48A0" w:rsidP="00CC1F3B">
      <w:pPr>
        <w:pStyle w:val="Note"/>
        <w:rPr>
          <w:color w:val="auto"/>
        </w:rPr>
      </w:pPr>
      <w:r w:rsidRPr="00A27E77">
        <w:rPr>
          <w:color w:val="auto"/>
        </w:rPr>
        <w:t>Strike-throughs indicate language that would be stricken from a heading or the present law and underscoring indicates new language that would be added.</w:t>
      </w:r>
    </w:p>
    <w:sectPr w:rsidR="006865E9" w:rsidRPr="00A27E77" w:rsidSect="006031EB">
      <w:headerReference w:type="default" r:id="rId14"/>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AEF5" w14:textId="77777777" w:rsidR="006031EB" w:rsidRPr="00B844FE" w:rsidRDefault="006031EB" w:rsidP="00B844FE">
      <w:r>
        <w:separator/>
      </w:r>
    </w:p>
  </w:endnote>
  <w:endnote w:type="continuationSeparator" w:id="0">
    <w:p w14:paraId="52518AE3" w14:textId="77777777" w:rsidR="006031EB" w:rsidRPr="00B844FE" w:rsidRDefault="006031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4E7C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004F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41FA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C1A4" w14:textId="77777777" w:rsidR="00B66E0D" w:rsidRDefault="00B66E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3C2D" w14:textId="77777777" w:rsidR="006031EB" w:rsidRDefault="006031EB">
    <w:pPr>
      <w:spacing w:line="240" w:lineRule="exact"/>
    </w:pPr>
  </w:p>
  <w:p w14:paraId="3BD66A55" w14:textId="77777777" w:rsidR="006031EB" w:rsidRDefault="006031EB">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2BBA0C82" w14:textId="77777777" w:rsidR="006031EB" w:rsidRDefault="006031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A8AE" w14:textId="77777777" w:rsidR="006031EB" w:rsidRPr="00B844FE" w:rsidRDefault="006031EB" w:rsidP="00B844FE">
      <w:r>
        <w:separator/>
      </w:r>
    </w:p>
  </w:footnote>
  <w:footnote w:type="continuationSeparator" w:id="0">
    <w:p w14:paraId="6719ECB5" w14:textId="77777777" w:rsidR="006031EB" w:rsidRPr="00B844FE" w:rsidRDefault="006031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77AA" w14:textId="77777777" w:rsidR="002A0269" w:rsidRPr="00B844FE" w:rsidRDefault="00F1608B">
    <w:pPr>
      <w:pStyle w:val="Header"/>
    </w:pPr>
    <w:sdt>
      <w:sdtPr>
        <w:id w:val="-684364211"/>
        <w:placeholder>
          <w:docPart w:val="B1471DEF98FC411BA9D1279E3EFDED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471DEF98FC411BA9D1279E3EFDED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3D59" w14:textId="14F6000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031EB">
          <w:rPr>
            <w:sz w:val="22"/>
            <w:szCs w:val="22"/>
          </w:rPr>
          <w:t>SB</w:t>
        </w:r>
      </w:sdtContent>
    </w:sdt>
    <w:r w:rsidR="007A5259" w:rsidRPr="00686E9A">
      <w:rPr>
        <w:sz w:val="22"/>
        <w:szCs w:val="22"/>
      </w:rPr>
      <w:t xml:space="preserve"> </w:t>
    </w:r>
    <w:r w:rsidR="00565C49">
      <w:rPr>
        <w:sz w:val="22"/>
        <w:szCs w:val="22"/>
      </w:rPr>
      <w:t>663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31EB">
          <w:rPr>
            <w:sz w:val="22"/>
            <w:szCs w:val="22"/>
          </w:rPr>
          <w:t>2026R2371</w:t>
        </w:r>
      </w:sdtContent>
    </w:sdt>
  </w:p>
  <w:p w14:paraId="62E13D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59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4065" w14:textId="563B064A" w:rsidR="006031EB" w:rsidRPr="0049579C" w:rsidRDefault="0049579C" w:rsidP="0049579C">
    <w:pPr>
      <w:pStyle w:val="Header"/>
    </w:pPr>
    <w:proofErr w:type="spellStart"/>
    <w:r w:rsidRPr="00686E9A">
      <w:t>Intr</w:t>
    </w:r>
    <w:proofErr w:type="spellEnd"/>
    <w:r w:rsidRPr="00686E9A">
      <w:t xml:space="preserve"> </w:t>
    </w:r>
    <w:sdt>
      <w:sdtPr>
        <w:tag w:val="BNumWH"/>
        <w:id w:val="-628543466"/>
        <w:text/>
      </w:sdtPr>
      <w:sdtEndPr/>
      <w:sdtContent>
        <w:r>
          <w:t>SB</w:t>
        </w:r>
      </w:sdtContent>
    </w:sdt>
    <w:r w:rsidRPr="00686E9A">
      <w:t xml:space="preserve"> </w:t>
    </w:r>
    <w:r w:rsidRPr="00686E9A">
      <w:ptab w:relativeTo="margin" w:alignment="center" w:leader="none"/>
    </w:r>
    <w:r w:rsidRPr="00686E9A">
      <w:tab/>
    </w:r>
    <w:sdt>
      <w:sdtPr>
        <w:alias w:val="CBD Number"/>
        <w:tag w:val="CBD Number"/>
        <w:id w:val="306283309"/>
        <w:text/>
      </w:sdtPr>
      <w:sdtEndPr/>
      <w:sdtContent>
        <w:r>
          <w:t>2026R2371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EB"/>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21522"/>
    <w:rsid w:val="003344FB"/>
    <w:rsid w:val="003717CB"/>
    <w:rsid w:val="00394191"/>
    <w:rsid w:val="003C51CD"/>
    <w:rsid w:val="003C6034"/>
    <w:rsid w:val="00400B5C"/>
    <w:rsid w:val="00410248"/>
    <w:rsid w:val="004368E0"/>
    <w:rsid w:val="0049579C"/>
    <w:rsid w:val="004C13DD"/>
    <w:rsid w:val="004D3ABE"/>
    <w:rsid w:val="004E3441"/>
    <w:rsid w:val="00500579"/>
    <w:rsid w:val="00565C49"/>
    <w:rsid w:val="00572702"/>
    <w:rsid w:val="005A5366"/>
    <w:rsid w:val="005C583D"/>
    <w:rsid w:val="006031EB"/>
    <w:rsid w:val="006369EB"/>
    <w:rsid w:val="00637E73"/>
    <w:rsid w:val="00661C89"/>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27E77"/>
    <w:rsid w:val="00A31E01"/>
    <w:rsid w:val="00A527AD"/>
    <w:rsid w:val="00A718CF"/>
    <w:rsid w:val="00A84B98"/>
    <w:rsid w:val="00AA069B"/>
    <w:rsid w:val="00AE48A0"/>
    <w:rsid w:val="00AE61BE"/>
    <w:rsid w:val="00B16F25"/>
    <w:rsid w:val="00B24422"/>
    <w:rsid w:val="00B52888"/>
    <w:rsid w:val="00B66B81"/>
    <w:rsid w:val="00B66E0D"/>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74E6"/>
    <w:rsid w:val="00D579FC"/>
    <w:rsid w:val="00D81C16"/>
    <w:rsid w:val="00DE526B"/>
    <w:rsid w:val="00DF199D"/>
    <w:rsid w:val="00E01542"/>
    <w:rsid w:val="00E160F9"/>
    <w:rsid w:val="00E365F1"/>
    <w:rsid w:val="00E62F48"/>
    <w:rsid w:val="00E831B3"/>
    <w:rsid w:val="00E95FBC"/>
    <w:rsid w:val="00EC5E63"/>
    <w:rsid w:val="00ED0FF9"/>
    <w:rsid w:val="00EE70CB"/>
    <w:rsid w:val="00F1608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897D6"/>
  <w15:chartTrackingRefBased/>
  <w15:docId w15:val="{8B4C5B4E-2D73-4816-AC4C-72A86133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031EB"/>
    <w:rPr>
      <w:rFonts w:eastAsia="Calibri"/>
      <w:b/>
      <w:caps/>
      <w:color w:val="000000"/>
      <w:sz w:val="24"/>
    </w:rPr>
  </w:style>
  <w:style w:type="character" w:customStyle="1" w:styleId="SectionBodyChar">
    <w:name w:val="Section Body Char"/>
    <w:link w:val="SectionBody"/>
    <w:rsid w:val="006031EB"/>
    <w:rPr>
      <w:rFonts w:eastAsia="Calibri"/>
      <w:color w:val="000000"/>
    </w:rPr>
  </w:style>
  <w:style w:type="character" w:customStyle="1" w:styleId="SectionHeadingChar">
    <w:name w:val="Section Heading Char"/>
    <w:link w:val="SectionHeading"/>
    <w:rsid w:val="006031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5C252A1B7E4A9AA2EB20C371CF8898"/>
        <w:category>
          <w:name w:val="General"/>
          <w:gallery w:val="placeholder"/>
        </w:category>
        <w:types>
          <w:type w:val="bbPlcHdr"/>
        </w:types>
        <w:behaviors>
          <w:behavior w:val="content"/>
        </w:behaviors>
        <w:guid w:val="{FEDECC0D-16D9-442B-BF7D-21690385DED0}"/>
      </w:docPartPr>
      <w:docPartBody>
        <w:p w:rsidR="006C6C86" w:rsidRDefault="006C6C86">
          <w:pPr>
            <w:pStyle w:val="085C252A1B7E4A9AA2EB20C371CF8898"/>
          </w:pPr>
          <w:r w:rsidRPr="00B844FE">
            <w:t>Prefix Text</w:t>
          </w:r>
        </w:p>
      </w:docPartBody>
    </w:docPart>
    <w:docPart>
      <w:docPartPr>
        <w:name w:val="B1471DEF98FC411BA9D1279E3EFDED1D"/>
        <w:category>
          <w:name w:val="General"/>
          <w:gallery w:val="placeholder"/>
        </w:category>
        <w:types>
          <w:type w:val="bbPlcHdr"/>
        </w:types>
        <w:behaviors>
          <w:behavior w:val="content"/>
        </w:behaviors>
        <w:guid w:val="{80991CDF-0010-4EDD-82D5-0021862D944A}"/>
      </w:docPartPr>
      <w:docPartBody>
        <w:p w:rsidR="006C6C86" w:rsidRDefault="006C6C86">
          <w:pPr>
            <w:pStyle w:val="B1471DEF98FC411BA9D1279E3EFDED1D"/>
          </w:pPr>
          <w:r w:rsidRPr="00B844FE">
            <w:t>[Type here]</w:t>
          </w:r>
        </w:p>
      </w:docPartBody>
    </w:docPart>
    <w:docPart>
      <w:docPartPr>
        <w:name w:val="3D5E26FE08EB4CE890B5F4CF4F7959B1"/>
        <w:category>
          <w:name w:val="General"/>
          <w:gallery w:val="placeholder"/>
        </w:category>
        <w:types>
          <w:type w:val="bbPlcHdr"/>
        </w:types>
        <w:behaviors>
          <w:behavior w:val="content"/>
        </w:behaviors>
        <w:guid w:val="{20879C4D-E298-4E3D-A2B4-F9B331857756}"/>
      </w:docPartPr>
      <w:docPartBody>
        <w:p w:rsidR="006C6C86" w:rsidRDefault="006C6C86">
          <w:pPr>
            <w:pStyle w:val="3D5E26FE08EB4CE890B5F4CF4F7959B1"/>
          </w:pPr>
          <w:r w:rsidRPr="00B844FE">
            <w:t>Number</w:t>
          </w:r>
        </w:p>
      </w:docPartBody>
    </w:docPart>
    <w:docPart>
      <w:docPartPr>
        <w:name w:val="5F98E73CADB74D888D18EDE88AF67C6C"/>
        <w:category>
          <w:name w:val="General"/>
          <w:gallery w:val="placeholder"/>
        </w:category>
        <w:types>
          <w:type w:val="bbPlcHdr"/>
        </w:types>
        <w:behaviors>
          <w:behavior w:val="content"/>
        </w:behaviors>
        <w:guid w:val="{42DEC76F-1D67-4807-96C9-B370062790F0}"/>
      </w:docPartPr>
      <w:docPartBody>
        <w:p w:rsidR="006C6C86" w:rsidRDefault="006C6C86">
          <w:pPr>
            <w:pStyle w:val="5F98E73CADB74D888D18EDE88AF67C6C"/>
          </w:pPr>
          <w:r w:rsidRPr="00B844FE">
            <w:t>Enter Sponsors Here</w:t>
          </w:r>
        </w:p>
      </w:docPartBody>
    </w:docPart>
    <w:docPart>
      <w:docPartPr>
        <w:name w:val="D9C2D743B1E14C9CB4F8B65D4DAE6A7B"/>
        <w:category>
          <w:name w:val="General"/>
          <w:gallery w:val="placeholder"/>
        </w:category>
        <w:types>
          <w:type w:val="bbPlcHdr"/>
        </w:types>
        <w:behaviors>
          <w:behavior w:val="content"/>
        </w:behaviors>
        <w:guid w:val="{FCA7D3E8-030E-4A32-84E4-9EDF3C39E24D}"/>
      </w:docPartPr>
      <w:docPartBody>
        <w:p w:rsidR="006C6C86" w:rsidRDefault="006C6C86">
          <w:pPr>
            <w:pStyle w:val="D9C2D743B1E14C9CB4F8B65D4DAE6A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86"/>
    <w:rsid w:val="00321522"/>
    <w:rsid w:val="003344FB"/>
    <w:rsid w:val="003717CB"/>
    <w:rsid w:val="006C6C86"/>
    <w:rsid w:val="00B52888"/>
    <w:rsid w:val="00D474E6"/>
    <w:rsid w:val="00E1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5C252A1B7E4A9AA2EB20C371CF8898">
    <w:name w:val="085C252A1B7E4A9AA2EB20C371CF8898"/>
  </w:style>
  <w:style w:type="paragraph" w:customStyle="1" w:styleId="B1471DEF98FC411BA9D1279E3EFDED1D">
    <w:name w:val="B1471DEF98FC411BA9D1279E3EFDED1D"/>
  </w:style>
  <w:style w:type="paragraph" w:customStyle="1" w:styleId="3D5E26FE08EB4CE890B5F4CF4F7959B1">
    <w:name w:val="3D5E26FE08EB4CE890B5F4CF4F7959B1"/>
  </w:style>
  <w:style w:type="paragraph" w:customStyle="1" w:styleId="5F98E73CADB74D888D18EDE88AF67C6C">
    <w:name w:val="5F98E73CADB74D888D18EDE88AF67C6C"/>
  </w:style>
  <w:style w:type="character" w:styleId="PlaceholderText">
    <w:name w:val="Placeholder Text"/>
    <w:basedOn w:val="DefaultParagraphFont"/>
    <w:uiPriority w:val="99"/>
    <w:semiHidden/>
    <w:rPr>
      <w:color w:val="808080"/>
    </w:rPr>
  </w:style>
  <w:style w:type="paragraph" w:customStyle="1" w:styleId="D9C2D743B1E14C9CB4F8B65D4DAE6A7B">
    <w:name w:val="D9C2D743B1E14C9CB4F8B65D4DAE6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559</Words>
  <Characters>2934</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6</cp:revision>
  <dcterms:created xsi:type="dcterms:W3CDTF">2026-01-23T20:16:00Z</dcterms:created>
  <dcterms:modified xsi:type="dcterms:W3CDTF">2026-01-28T19:36:00Z</dcterms:modified>
</cp:coreProperties>
</file>